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6CDEE" w14:textId="77777777" w:rsidR="004A398B" w:rsidRDefault="004A398B" w:rsidP="004A398B">
      <w:pPr>
        <w:pStyle w:val="Bezodstpw"/>
        <w:rPr>
          <w:rFonts w:ascii="Arial Black" w:hAnsi="Arial Black"/>
        </w:rPr>
      </w:pPr>
      <w:r>
        <w:rPr>
          <w:rFonts w:ascii="Arial Black" w:hAnsi="Arial Black"/>
        </w:rPr>
        <w:t>BURMISTRZ GÓRY</w:t>
      </w:r>
    </w:p>
    <w:p w14:paraId="7016EA6A" w14:textId="77777777" w:rsidR="004A398B" w:rsidRDefault="004A398B" w:rsidP="004A398B">
      <w:pPr>
        <w:pStyle w:val="Bezodstpw"/>
        <w:rPr>
          <w:rFonts w:ascii="Arial Black" w:hAnsi="Arial Black"/>
        </w:rPr>
      </w:pPr>
      <w:r>
        <w:rPr>
          <w:rFonts w:ascii="Arial Black" w:hAnsi="Arial Black"/>
          <w:sz w:val="18"/>
        </w:rPr>
        <w:t>ul. Adama Mickiewicza 1</w:t>
      </w:r>
    </w:p>
    <w:p w14:paraId="3A2BE53C" w14:textId="77777777" w:rsidR="004A398B" w:rsidRDefault="004A398B" w:rsidP="004A398B">
      <w:pPr>
        <w:pStyle w:val="Bezodstpw"/>
        <w:rPr>
          <w:rFonts w:ascii="Arial Black" w:hAnsi="Arial Black"/>
          <w:sz w:val="18"/>
        </w:rPr>
      </w:pPr>
      <w:r>
        <w:rPr>
          <w:rFonts w:ascii="Arial Black" w:hAnsi="Arial Black"/>
          <w:sz w:val="18"/>
        </w:rPr>
        <w:t xml:space="preserve">         56-200 Góra</w:t>
      </w:r>
    </w:p>
    <w:p w14:paraId="41060B09" w14:textId="77777777" w:rsidR="004A398B" w:rsidRDefault="004A398B" w:rsidP="004A398B">
      <w:pPr>
        <w:pStyle w:val="Tekstpodstawowywcity"/>
        <w:ind w:left="0"/>
        <w:jc w:val="right"/>
        <w:rPr>
          <w:rFonts w:ascii="Times New Roman" w:hAnsi="Times New Roman"/>
        </w:rPr>
      </w:pPr>
      <w:r>
        <w:rPr>
          <w:rFonts w:ascii="Arial Black" w:hAnsi="Arial Black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Góra, dnia 18 października 2024 r.</w:t>
      </w:r>
    </w:p>
    <w:p w14:paraId="1FE222C0" w14:textId="77777777" w:rsidR="004A398B" w:rsidRDefault="004A398B" w:rsidP="004A398B">
      <w:pPr>
        <w:pStyle w:val="Tekstpodstawowywcity"/>
        <w:ind w:left="0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Cs/>
          <w:iCs/>
        </w:rPr>
        <w:t>GN.6840.40.2023</w:t>
      </w:r>
    </w:p>
    <w:p w14:paraId="415BE85B" w14:textId="77777777" w:rsidR="004A398B" w:rsidRDefault="004A398B" w:rsidP="004A398B">
      <w:pPr>
        <w:pStyle w:val="Tekstpodstawowywcity"/>
        <w:ind w:left="0"/>
        <w:rPr>
          <w:rFonts w:ascii="Times New Roman" w:hAnsi="Times New Roman"/>
          <w:sz w:val="26"/>
        </w:rPr>
      </w:pPr>
    </w:p>
    <w:p w14:paraId="7DEDC545" w14:textId="77777777" w:rsidR="004A398B" w:rsidRDefault="004A398B" w:rsidP="004A398B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25B5DC95" w14:textId="77777777" w:rsidR="004A398B" w:rsidRDefault="004A398B" w:rsidP="004A398B">
      <w:pPr>
        <w:pStyle w:val="Tekstpodstawowywcity"/>
        <w:ind w:left="0"/>
        <w:rPr>
          <w:rFonts w:ascii="Times New Roman" w:hAnsi="Times New Roman"/>
        </w:rPr>
      </w:pPr>
    </w:p>
    <w:p w14:paraId="4CDC04FD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 r. o gospodarce nieruchomościami (Dz. U. z 2024 r. poz. 1145)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</w:rPr>
        <w:t xml:space="preserve">podaje </w:t>
      </w:r>
      <w:r>
        <w:rPr>
          <w:rFonts w:ascii="Times New Roman" w:hAnsi="Times New Roman"/>
          <w:b/>
          <w:bCs/>
        </w:rPr>
        <w:br/>
        <w:t xml:space="preserve">do publicznej wiadomości wykaz ½ udziału w nieruchomości przeznaczonej do zbycia </w:t>
      </w:r>
      <w:r>
        <w:rPr>
          <w:rFonts w:ascii="Times New Roman" w:hAnsi="Times New Roman"/>
          <w:b/>
          <w:bCs/>
        </w:rPr>
        <w:br/>
        <w:t>na własność w drodze bezprzetargowej.</w:t>
      </w:r>
    </w:p>
    <w:p w14:paraId="2FB834FA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</w:p>
    <w:p w14:paraId="48D53735" w14:textId="0B14AACB" w:rsidR="004A398B" w:rsidRDefault="004A398B" w:rsidP="004A398B">
      <w:pPr>
        <w:pStyle w:val="Tekstpodstawowywcity"/>
        <w:ind w:left="0"/>
        <w:rPr>
          <w:rFonts w:ascii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297EFB9" wp14:editId="22009303">
                <wp:simplePos x="0" y="0"/>
                <wp:positionH relativeFrom="column">
                  <wp:posOffset>4091305</wp:posOffset>
                </wp:positionH>
                <wp:positionV relativeFrom="paragraph">
                  <wp:posOffset>157480</wp:posOffset>
                </wp:positionV>
                <wp:extent cx="2478405" cy="2271395"/>
                <wp:effectExtent l="5080" t="5080" r="1206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8405" cy="2271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09805A" w14:textId="24264BCE" w:rsidR="004A398B" w:rsidRDefault="004A398B" w:rsidP="004A398B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9D43532" wp14:editId="51577B69">
                                  <wp:extent cx="2286000" cy="217170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Obraz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7124" t="23222" r="29233" b="1740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0" cy="21717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97EFB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22.15pt;margin-top:12.4pt;width:195.15pt;height:178.8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ylcFQIAACoEAAAOAAAAZHJzL2Uyb0RvYy54bWysU9uO0zAQfUfiHyy/06ShZduo6WrpUoS0&#10;C0gLH+A4TmLheCzbbVK+nrGTdsvtBZEHy5MZn5k5c2ZzO3SKHIV1EnRB57OUEqE5VFI3Bf36Zf9q&#10;RYnzTFdMgRYFPQlHb7cvX2x6k4sMWlCVsARBtMt7U9DWe5MnieOt6JibgREanTXYjnk0bZNUlvWI&#10;3qkkS9M3SQ+2Mha4cA7/3o9Ouo34dS24/1TXTniiCoq1+XjaeJbhTLYbljeWmVbyqQz2D1V0TGpM&#10;eoG6Z56Rg5W/QXWSW3BQ+xmHLoG6llzEHrCbefpLN08tMyL2guQ4c6HJ/T9Y/vH4ZD5b4oe3MOAA&#10;YxPOPAD/5oiGXct0I+6shb4VrMLE80BZ0huXT08D1S53AaTsH6HCIbODhwg01LYLrGCfBNFxAKcL&#10;6WLwhOPPbHGzWqRLSjj6suxm/nq9jDlYfn5urPPvBXQkXApqcaoRnh0fnA/lsPwcErI5ULLaS6Wi&#10;YZtypyw5MlTAPn4T+k9hSpO+oOtlthwZ+CtEGr8/QXTSo5SV7Aq6ugSxPPD2TldRaJ5JNd6xZKUn&#10;IgN3I4t+KAcMDISWUJ2QUgujZHHF8NKC/U5Jj3ItqMZ9okR90DiU9XyxCOqOxmJ5k6Fhrz3ltYdp&#10;jkAF9ZSM150fN+JgrGxazHOWwR0Oci8jxc81TVWjICPz0/IExV/bMep5xbc/AAAA//8DAFBLAwQU&#10;AAYACAAAACEAnbwEC+IAAAALAQAADwAAAGRycy9kb3ducmV2LnhtbEyPQU7DMBBF90jcwRokNoja&#10;JCGtQpwKiioWSAhaDuDEQ5I2HkexmwROj7uC5Wie/n8/X8+mYyMOrrUk4W4hgCFVVrdUS/jcb29X&#10;wJxXpFVnCSV8o4N1cXmRq0zbiT5w3PmahRBymZLQeN9nnLuqQaPcwvZI4fdlB6N8OIea60FNIdx0&#10;PBIi5Ua1FBoa1eOmweq4OxkJx+fleLh5fXkq37abQz2K6Qerdymvr+bHB2AeZ/8Hw1k/qEMRnEp7&#10;Iu1YJyFNkjigEqIkTDgDIk5SYKWEeBXdAy9y/n9D8QsAAP//AwBQSwECLQAUAAYACAAAACEAtoM4&#10;kv4AAADhAQAAEwAAAAAAAAAAAAAAAAAAAAAAW0NvbnRlbnRfVHlwZXNdLnhtbFBLAQItABQABgAI&#10;AAAAIQA4/SH/1gAAAJQBAAALAAAAAAAAAAAAAAAAAC8BAABfcmVscy8ucmVsc1BLAQItABQABgAI&#10;AAAAIQCmJylcFQIAACoEAAAOAAAAAAAAAAAAAAAAAC4CAABkcnMvZTJvRG9jLnhtbFBLAQItABQA&#10;BgAIAAAAIQCdvAQL4gAAAAsBAAAPAAAAAAAAAAAAAAAAAG8EAABkcnMvZG93bnJldi54bWxQSwUG&#10;AAAAAAQABADzAAAAfgUAAAAA&#10;">
                <v:textbox style="mso-fit-shape-to-text:t">
                  <w:txbxContent>
                    <w:p w14:paraId="7D09805A" w14:textId="24264BCE" w:rsidR="004A398B" w:rsidRDefault="004A398B" w:rsidP="004A398B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9D43532" wp14:editId="51577B69">
                            <wp:extent cx="2286000" cy="217170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Obraz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7124" t="23222" r="29233" b="1740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6000" cy="21717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</w:rPr>
        <w:t xml:space="preserve">1. </w:t>
      </w:r>
      <w:r>
        <w:rPr>
          <w:rFonts w:ascii="Times New Roman" w:hAnsi="Times New Roman"/>
          <w:b/>
          <w:bCs/>
          <w:u w:val="single"/>
        </w:rPr>
        <w:t xml:space="preserve">Udział ½ w nieruchomości rolnej niezabudowanej </w:t>
      </w:r>
      <w:r>
        <w:rPr>
          <w:rFonts w:ascii="Times New Roman" w:hAnsi="Times New Roman"/>
        </w:rPr>
        <w:t>położonej w obrębie miejscowości Czernina Górna,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oznaczonej w ewidencji gruntów jako działka nr:</w:t>
      </w:r>
      <w:r>
        <w:t xml:space="preserve"> </w:t>
      </w:r>
      <w:r>
        <w:tab/>
      </w:r>
      <w:r>
        <w:tab/>
      </w:r>
      <w:r>
        <w:tab/>
      </w:r>
    </w:p>
    <w:p w14:paraId="36B3C4AC" w14:textId="77777777" w:rsidR="004A398B" w:rsidRDefault="004A398B" w:rsidP="004A398B">
      <w:pPr>
        <w:pStyle w:val="Tekstpodstawowywcity"/>
        <w:numPr>
          <w:ilvl w:val="0"/>
          <w:numId w:val="1"/>
        </w:numPr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164/4 o powierzchni całkowitej 0,7070 ha; </w:t>
      </w:r>
    </w:p>
    <w:p w14:paraId="298CBAD9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sklasyfikowanej jako RIVb (0,2873 ha), RV (0,2055 ha) oraz</w:t>
      </w:r>
    </w:p>
    <w:p w14:paraId="16E8F1CC" w14:textId="77777777" w:rsidR="004A398B" w:rsidRDefault="004A398B" w:rsidP="004A398B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PsIV (0,2142 ha), </w:t>
      </w:r>
      <w:r>
        <w:rPr>
          <w:rFonts w:ascii="Times New Roman" w:hAnsi="Times New Roman"/>
        </w:rPr>
        <w:t xml:space="preserve">dla której Sąd Rejonowy w Głogowie prowadzi </w:t>
      </w:r>
    </w:p>
    <w:p w14:paraId="0190E638" w14:textId="77777777" w:rsidR="004A398B" w:rsidRDefault="004A398B" w:rsidP="004A398B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>księgę wieczystą nr LE1G/00090783/0.</w:t>
      </w:r>
    </w:p>
    <w:p w14:paraId="2EDCB448" w14:textId="77777777" w:rsidR="004A398B" w:rsidRDefault="004A398B" w:rsidP="004A398B">
      <w:pPr>
        <w:pStyle w:val="Tekstpodstawowywcity"/>
        <w:ind w:left="0"/>
      </w:pPr>
      <w:r>
        <w:rPr>
          <w:rFonts w:ascii="Times New Roman" w:hAnsi="Times New Roman"/>
        </w:rPr>
        <w:t>Działka wolna jest od ciężarów, ograniczeń i hipotek.</w:t>
      </w:r>
      <w:r>
        <w:t xml:space="preserve"> </w:t>
      </w:r>
    </w:p>
    <w:p w14:paraId="63FD0200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</w:p>
    <w:p w14:paraId="7C42A927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Planie Zagospodarowania Przestrzennego dla Gminy Góry</w:t>
      </w:r>
    </w:p>
    <w:p w14:paraId="24603BF3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nieruchomość znajduje się w jednostce bilansowej </w:t>
      </w:r>
      <w:r>
        <w:rPr>
          <w:rFonts w:ascii="Times New Roman" w:hAnsi="Times New Roman"/>
          <w:b/>
          <w:bCs/>
        </w:rPr>
        <w:t>2R</w:t>
      </w:r>
      <w:r>
        <w:rPr>
          <w:rFonts w:ascii="Times New Roman" w:hAnsi="Times New Roman"/>
        </w:rPr>
        <w:t xml:space="preserve">, dla której </w:t>
      </w:r>
    </w:p>
    <w:p w14:paraId="1AE899A5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ustala się przeznaczenie na tereny rolnicze. </w:t>
      </w:r>
    </w:p>
    <w:p w14:paraId="685B038A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u w:val="single"/>
        </w:rPr>
      </w:pPr>
    </w:p>
    <w:p w14:paraId="06A3B29B" w14:textId="77777777" w:rsidR="004A398B" w:rsidRDefault="004A398B" w:rsidP="004A398B">
      <w:pPr>
        <w:pStyle w:val="Tekstpodstawowywcity"/>
        <w:ind w:left="0"/>
        <w:rPr>
          <w:color w:val="FF0000"/>
          <w:u w:val="single"/>
        </w:rPr>
      </w:pPr>
      <w:r>
        <w:rPr>
          <w:rFonts w:ascii="Times New Roman" w:hAnsi="Times New Roman"/>
        </w:rPr>
        <w:t xml:space="preserve">Działka posiada dostęp do drogi. </w:t>
      </w:r>
      <w:r>
        <w:rPr>
          <w:rFonts w:ascii="Times New Roman" w:hAnsi="Times New Roman"/>
        </w:rPr>
        <w:br/>
        <w:t xml:space="preserve"> </w:t>
      </w:r>
      <w:r>
        <w:rPr>
          <w:rFonts w:ascii="Times New Roman" w:hAnsi="Times New Roman"/>
          <w:color w:val="FF0000"/>
        </w:rPr>
        <w:t xml:space="preserve">              </w:t>
      </w:r>
    </w:p>
    <w:p w14:paraId="5107A63F" w14:textId="77777777" w:rsidR="004A398B" w:rsidRDefault="004A398B" w:rsidP="004A398B">
      <w:pPr>
        <w:jc w:val="both"/>
        <w:rPr>
          <w:sz w:val="20"/>
          <w:szCs w:val="20"/>
        </w:rPr>
      </w:pPr>
      <w:r>
        <w:rPr>
          <w:u w:val="single"/>
        </w:rPr>
        <w:t xml:space="preserve">2. </w:t>
      </w:r>
      <w:r>
        <w:rPr>
          <w:b/>
          <w:bCs/>
          <w:u w:val="single"/>
        </w:rPr>
        <w:t>Cena wywoławcza nieruchomości ustalona została  na kwotę  20.000,00</w:t>
      </w:r>
      <w:r>
        <w:rPr>
          <w:b/>
          <w:bCs/>
          <w:sz w:val="28"/>
          <w:u w:val="single"/>
        </w:rPr>
        <w:t xml:space="preserve"> zł</w:t>
      </w:r>
      <w:r>
        <w:rPr>
          <w:b/>
          <w:bCs/>
          <w:u w:val="single"/>
        </w:rPr>
        <w:t>,</w:t>
      </w:r>
      <w:r>
        <w:rPr>
          <w:b/>
          <w:bCs/>
          <w:sz w:val="22"/>
          <w:szCs w:val="22"/>
          <w:u w:val="single"/>
        </w:rPr>
        <w:t xml:space="preserve"> </w:t>
      </w:r>
      <w:r>
        <w:rPr>
          <w:b/>
          <w:bCs/>
          <w:sz w:val="22"/>
          <w:szCs w:val="22"/>
          <w:u w:val="single"/>
        </w:rPr>
        <w:br/>
      </w:r>
      <w:r>
        <w:rPr>
          <w:sz w:val="20"/>
          <w:szCs w:val="20"/>
        </w:rPr>
        <w:t xml:space="preserve">(tereny zwolnione są z podatku VAT na podstawie art. 43 ust. 1 pkt 9 ustawy z dnia 11 marca 2004 r. </w:t>
      </w:r>
      <w:r>
        <w:rPr>
          <w:sz w:val="20"/>
          <w:szCs w:val="20"/>
        </w:rPr>
        <w:br/>
        <w:t>o podatku od towarów i usług, zgodnie z którym: „zwalnia się od podatku dostawę terenów niezabudowanych innych niż tereny budowlane” (</w:t>
      </w:r>
      <w:r>
        <w:rPr>
          <w:sz w:val="18"/>
        </w:rPr>
        <w:t>Dz. U. z 2024 r. poz. 361)).</w:t>
      </w:r>
    </w:p>
    <w:p w14:paraId="2D8192BC" w14:textId="77777777" w:rsidR="004A398B" w:rsidRDefault="004A398B" w:rsidP="004A398B"/>
    <w:p w14:paraId="5EE6F396" w14:textId="77777777" w:rsidR="004A398B" w:rsidRDefault="004A398B" w:rsidP="004A398B">
      <w:pPr>
        <w:jc w:val="both"/>
        <w:rPr>
          <w:b/>
          <w:bCs/>
        </w:rPr>
      </w:pPr>
      <w:r>
        <w:rPr>
          <w:b/>
          <w:bCs/>
        </w:rPr>
        <w:t xml:space="preserve">3. ½ udziału w nieruchomości nr 164/4 przeznacza się do zbycia na własność na rzecz współwłaściciela nieruchomości, posiadającego ½ udziału w działce, zarządzającego wspólnym gruntem – zgodnie z art. 166 ustawy z dnia 23 kwietnia 1964 r. </w:t>
      </w:r>
      <w:r>
        <w:rPr>
          <w:b/>
          <w:bCs/>
        </w:rPr>
        <w:br/>
        <w:t>Kodeks cywilny (Dz. U z 2024 r. poz. 1061 ze zm.).</w:t>
      </w:r>
    </w:p>
    <w:p w14:paraId="5D1BB1A9" w14:textId="77777777" w:rsidR="004A398B" w:rsidRDefault="004A398B" w:rsidP="004A398B"/>
    <w:p w14:paraId="0A7B7704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t xml:space="preserve">4. </w:t>
      </w:r>
      <w:r>
        <w:rPr>
          <w:rFonts w:ascii="Times New Roman" w:hAnsi="Times New Roman"/>
          <w:sz w:val="22"/>
          <w:szCs w:val="22"/>
        </w:rPr>
        <w:t xml:space="preserve">Zgodnie z przepisami ustawy z dnia 11 kwietnia 2003 r. o kształtowaniu ustroju rolnego (Dz. U. </w:t>
      </w:r>
      <w:r>
        <w:rPr>
          <w:rFonts w:ascii="Times New Roman" w:hAnsi="Times New Roman"/>
          <w:sz w:val="22"/>
          <w:szCs w:val="22"/>
        </w:rPr>
        <w:br/>
        <w:t>z 2024 r. poz. 423), w</w:t>
      </w:r>
      <w:r>
        <w:rPr>
          <w:rFonts w:ascii="Times New Roman" w:hAnsi="Times New Roman"/>
          <w:sz w:val="22"/>
          <w:szCs w:val="22"/>
          <w:u w:val="single"/>
        </w:rPr>
        <w:t xml:space="preserve"> przypadku, gdy kandydatem na nabywcę nieruchomości rolnej zostanie rolnik indywidualny, spełniający kryteria określone w cytowanej wyżej ustawie - Krajowemu Ośrodkowi Wsparcia Rolnictwa – prawo pierwokupu nie przysługuje.</w:t>
      </w:r>
      <w:r>
        <w:rPr>
          <w:rFonts w:ascii="Times New Roman" w:hAnsi="Times New Roman"/>
          <w:sz w:val="22"/>
          <w:szCs w:val="22"/>
        </w:rPr>
        <w:t xml:space="preserve"> </w:t>
      </w:r>
    </w:p>
    <w:p w14:paraId="3D918708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Prawo nabycia nie przysługuje KOWR m.in. także, jeżeli nabycie nieruchomości rolnej następuje:</w:t>
      </w:r>
    </w:p>
    <w:p w14:paraId="12F608B0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 przez rolnika indywidualnego w wyniku zapisu windykacyjnego,</w:t>
      </w:r>
    </w:p>
    <w:p w14:paraId="03B8060F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 w wyniku dziedziczenia ustawowego albo dziedziczenia przez rolnika indywidualnego,</w:t>
      </w:r>
    </w:p>
    <w:p w14:paraId="45CD10D1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 przez osobę bliską zbywcy,</w:t>
      </w:r>
    </w:p>
    <w:p w14:paraId="670AF193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za zgodą Dyrektora Generalnego Krajowego Ośrodka Wsparcia Rolnictwa, wyrażoną w drodze decyzji administracyjnej, o której mowa w art. 2a ust. 4 ustawy o kształtowaniu ustroju rolnego</w:t>
      </w:r>
    </w:p>
    <w:p w14:paraId="29E27177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przez Spółkę Celową,</w:t>
      </w:r>
    </w:p>
    <w:p w14:paraId="6F27ACA2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przez spółdzielnię produkcji rolnej,</w:t>
      </w:r>
    </w:p>
    <w:p w14:paraId="6016AADA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przez członka spółdzielni produkcji rolnej,</w:t>
      </w:r>
    </w:p>
    <w:p w14:paraId="60A54B87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- w wyniku wykonania umowy z następcą,</w:t>
      </w:r>
    </w:p>
    <w:p w14:paraId="404F6E2F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lastRenderedPageBreak/>
        <w:t>- pomiędzy osobami prawnymi działającymi na podstawie przepisów o stosunku Państwa do Kościoła Katolickiego w Rzeczpospolitej Polskiej.</w:t>
      </w:r>
    </w:p>
    <w:p w14:paraId="4242C961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sz w:val="22"/>
          <w:szCs w:val="22"/>
        </w:rPr>
      </w:pPr>
    </w:p>
    <w:p w14:paraId="55974F88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 pozostałych przypadkach Krajowemu Ośrodkowi Wsparcia Rolnictwa przysługuje prawo pierwokupu nieruchomości rolnej. Strony sprzedaży zobowiązane są zawrzeć warunkową umowę sprzedażą, która niezwłocznie przesyłana jest do KOWR, właściwego ze względu </w:t>
      </w:r>
      <w:r>
        <w:rPr>
          <w:rFonts w:ascii="Times New Roman" w:hAnsi="Times New Roman"/>
        </w:rPr>
        <w:br/>
        <w:t xml:space="preserve">na miejsce położenia nieruchomości. Prawo pierwokupu KOWR wykonuje w ciągu miesiąca od otrzymania zawiadomienia o treści zawartej warunkowej umowy sprzedaży. </w:t>
      </w:r>
    </w:p>
    <w:p w14:paraId="28D2E4F5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</w:p>
    <w:p w14:paraId="3DA64898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</w:rPr>
        <w:t>5. Zgodnie z art. 34 ust. 1 i 2 ustawy z dnia 21 sierpnia 1997 r. o gospodarce nieruchomościami, prawo pierwszeństwa w nabyciu nieruchomości mają osoby, którym przysługuje roszczenie o nabycie lub są poprzednimi właścicielami zbywanej nieruchomości pozbawionymi prawa własności tej nieruchomości przed 05.12.1990 r. albo ich spadkobiercami, jeżeli złożą wniosek o ich nabycie w terminie do dnia</w:t>
      </w:r>
      <w:r>
        <w:rPr>
          <w:rFonts w:ascii="Times New Roman" w:hAnsi="Times New Roman"/>
          <w:b/>
          <w:bCs/>
          <w:u w:val="single"/>
        </w:rPr>
        <w:t xml:space="preserve"> 06 grudnia 2024 r.</w:t>
      </w:r>
    </w:p>
    <w:p w14:paraId="2F3BD4E6" w14:textId="77777777" w:rsidR="004A398B" w:rsidRDefault="004A398B" w:rsidP="004A398B">
      <w:pPr>
        <w:pStyle w:val="Tekstpodstawowywcity"/>
        <w:ind w:left="0"/>
        <w:rPr>
          <w:rFonts w:ascii="Times New Roman" w:hAnsi="Times New Roman"/>
          <w:b/>
          <w:bCs/>
          <w:u w:val="single"/>
        </w:rPr>
      </w:pPr>
    </w:p>
    <w:p w14:paraId="256341B1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6.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Szczegółowe informacje o nieruchomości można uzyskać w Urzędzie Miasta i Gminy </w:t>
      </w:r>
    </w:p>
    <w:p w14:paraId="6BDBD760" w14:textId="77777777" w:rsidR="004A398B" w:rsidRDefault="004A398B" w:rsidP="004A398B">
      <w:pPr>
        <w:pStyle w:val="Tekstpodstawowywcity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 Górze (pokój 108) lub pod nr tel. (65) 544 36 31.</w:t>
      </w:r>
    </w:p>
    <w:p w14:paraId="6BE260EE" w14:textId="77777777" w:rsidR="004A398B" w:rsidRDefault="004A398B" w:rsidP="004A398B">
      <w:pPr>
        <w:pStyle w:val="Tekstpodstawowywcity"/>
        <w:ind w:left="0"/>
        <w:rPr>
          <w:rFonts w:ascii="Times New Roman" w:hAnsi="Times New Roman"/>
        </w:rPr>
      </w:pPr>
    </w:p>
    <w:p w14:paraId="66AD6965" w14:textId="77777777" w:rsidR="004A398B" w:rsidRDefault="004A398B" w:rsidP="004A398B">
      <w:pPr>
        <w:rPr>
          <w:b/>
        </w:rPr>
      </w:pPr>
    </w:p>
    <w:p w14:paraId="25B126ED" w14:textId="77777777" w:rsidR="004A398B" w:rsidRDefault="004A398B" w:rsidP="004A398B">
      <w:pPr>
        <w:pStyle w:val="Tekstpodstawowywcity"/>
        <w:ind w:left="0"/>
        <w:rPr>
          <w:rFonts w:ascii="Times New Roman" w:hAnsi="Times New Roman"/>
        </w:rPr>
      </w:pPr>
    </w:p>
    <w:p w14:paraId="182F26C5" w14:textId="77777777" w:rsidR="004A398B" w:rsidRDefault="004A398B" w:rsidP="004A398B">
      <w:pPr>
        <w:rPr>
          <w:b/>
        </w:rPr>
      </w:pPr>
    </w:p>
    <w:p w14:paraId="63EF10C8" w14:textId="77777777" w:rsidR="004A398B" w:rsidRDefault="004A398B" w:rsidP="004A398B">
      <w:pPr>
        <w:rPr>
          <w:b/>
        </w:rPr>
      </w:pPr>
    </w:p>
    <w:p w14:paraId="6563B1DB" w14:textId="77777777" w:rsidR="004A398B" w:rsidRDefault="004A398B" w:rsidP="004A398B">
      <w:pPr>
        <w:rPr>
          <w:b/>
        </w:rPr>
      </w:pPr>
    </w:p>
    <w:p w14:paraId="3CAAF94C" w14:textId="77777777" w:rsidR="004A398B" w:rsidRDefault="004A398B" w:rsidP="004A398B">
      <w:pPr>
        <w:rPr>
          <w:b/>
        </w:rPr>
      </w:pPr>
    </w:p>
    <w:p w14:paraId="062AB12E" w14:textId="77777777" w:rsidR="004A398B" w:rsidRDefault="004A398B" w:rsidP="004A398B"/>
    <w:p w14:paraId="2EDBD9A6" w14:textId="77777777" w:rsidR="004A398B" w:rsidRDefault="004A398B" w:rsidP="004A398B">
      <w:pPr>
        <w:rPr>
          <w:b/>
        </w:rPr>
      </w:pPr>
    </w:p>
    <w:p w14:paraId="3F65044E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92E13"/>
    <w:multiLevelType w:val="hybridMultilevel"/>
    <w:tmpl w:val="B8369F02"/>
    <w:lvl w:ilvl="0" w:tplc="974CD9D0">
      <w:numFmt w:val="decimal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1">
      <w:numFmt w:val="decimal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numFmt w:val="decimal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numFmt w:val="decimal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numFmt w:val="decimal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numFmt w:val="decimal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numFmt w:val="decimal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24305024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AF1"/>
    <w:rsid w:val="000C2CC6"/>
    <w:rsid w:val="000D72C6"/>
    <w:rsid w:val="00301FA4"/>
    <w:rsid w:val="00341780"/>
    <w:rsid w:val="00474874"/>
    <w:rsid w:val="0048641B"/>
    <w:rsid w:val="004928C5"/>
    <w:rsid w:val="004A398B"/>
    <w:rsid w:val="004A4894"/>
    <w:rsid w:val="00562978"/>
    <w:rsid w:val="005B52E3"/>
    <w:rsid w:val="00626AF1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6EF618-74E7-477C-BE1A-4FB886C8F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A3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4A398B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4A398B"/>
    <w:rPr>
      <w:rFonts w:ascii="Bookman Old Style" w:eastAsia="Times New Roman" w:hAnsi="Bookman Old Style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4A3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748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531</Words>
  <Characters>3191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2024-10-22T07:47:00Z</dcterms:created>
  <dcterms:modified xsi:type="dcterms:W3CDTF">2024-10-22T07:47:00Z</dcterms:modified>
</cp:coreProperties>
</file>