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34E20" w14:textId="77777777" w:rsidR="00233B69" w:rsidRPr="00233B69" w:rsidRDefault="00233B69" w:rsidP="00233B69">
      <w:pPr>
        <w:spacing w:after="0" w:line="240" w:lineRule="auto"/>
        <w:rPr>
          <w:rFonts w:ascii="Arial Black" w:eastAsia="Times New Roman" w:hAnsi="Arial Black" w:cs="Times New Roman"/>
          <w:szCs w:val="24"/>
          <w:lang w:eastAsia="pl-PL"/>
        </w:rPr>
      </w:pPr>
      <w:r w:rsidRPr="00233B69">
        <w:rPr>
          <w:rFonts w:ascii="Arial Black" w:eastAsia="Times New Roman" w:hAnsi="Arial Black" w:cs="Times New Roman"/>
          <w:szCs w:val="24"/>
          <w:lang w:eastAsia="pl-PL"/>
        </w:rPr>
        <w:t>BURMISTRZ GÓRY</w:t>
      </w:r>
    </w:p>
    <w:p w14:paraId="3B08E643" w14:textId="77777777" w:rsidR="00233B69" w:rsidRPr="00233B69" w:rsidRDefault="00233B69" w:rsidP="00233B69">
      <w:pPr>
        <w:spacing w:after="0" w:line="240" w:lineRule="auto"/>
        <w:rPr>
          <w:rFonts w:ascii="Arial Black" w:eastAsia="Times New Roman" w:hAnsi="Arial Black" w:cs="Times New Roman"/>
          <w:szCs w:val="24"/>
          <w:lang w:eastAsia="pl-PL"/>
        </w:rPr>
      </w:pPr>
      <w:r w:rsidRPr="00233B69">
        <w:rPr>
          <w:rFonts w:ascii="Arial Black" w:eastAsia="Times New Roman" w:hAnsi="Arial Black" w:cs="Times New Roman"/>
          <w:sz w:val="18"/>
          <w:szCs w:val="24"/>
          <w:lang w:eastAsia="pl-PL"/>
        </w:rPr>
        <w:t>ul. Adama Mickiewicza 1</w:t>
      </w:r>
    </w:p>
    <w:p w14:paraId="5F765A80" w14:textId="77777777" w:rsidR="00233B69" w:rsidRPr="00233B69" w:rsidRDefault="00233B69" w:rsidP="00233B69">
      <w:pPr>
        <w:spacing w:after="0" w:line="240" w:lineRule="auto"/>
        <w:rPr>
          <w:rFonts w:ascii="Arial Black" w:eastAsia="Times New Roman" w:hAnsi="Arial Black" w:cs="Times New Roman"/>
          <w:sz w:val="18"/>
          <w:szCs w:val="24"/>
          <w:lang w:eastAsia="pl-PL"/>
        </w:rPr>
      </w:pPr>
      <w:r w:rsidRPr="00233B69">
        <w:rPr>
          <w:rFonts w:ascii="Arial Black" w:eastAsia="Times New Roman" w:hAnsi="Arial Black" w:cs="Times New Roman"/>
          <w:sz w:val="18"/>
          <w:szCs w:val="24"/>
          <w:lang w:eastAsia="pl-PL"/>
        </w:rPr>
        <w:t xml:space="preserve">         56-200 Góra</w:t>
      </w:r>
    </w:p>
    <w:p w14:paraId="5A7AC940" w14:textId="77777777" w:rsidR="00233B69" w:rsidRPr="00233B69" w:rsidRDefault="00233B69" w:rsidP="00233B69">
      <w:pPr>
        <w:overflowPunct w:val="0"/>
        <w:autoSpaceDE w:val="0"/>
        <w:autoSpaceDN w:val="0"/>
        <w:adjustRightInd w:val="0"/>
        <w:spacing w:after="0" w:line="240" w:lineRule="auto"/>
        <w:jc w:val="right"/>
        <w:rPr>
          <w:rFonts w:eastAsia="Times New Roman" w:cs="Times New Roman"/>
          <w:szCs w:val="24"/>
          <w:lang w:eastAsia="pl-PL"/>
        </w:rPr>
      </w:pPr>
      <w:r w:rsidRPr="00233B69">
        <w:rPr>
          <w:rFonts w:ascii="Arial Black" w:eastAsia="Times New Roman" w:hAnsi="Arial Black" w:cs="Times New Roman"/>
          <w:szCs w:val="24"/>
          <w:lang w:eastAsia="pl-PL"/>
        </w:rPr>
        <w:tab/>
      </w:r>
      <w:r w:rsidRPr="00233B69">
        <w:rPr>
          <w:rFonts w:eastAsia="Times New Roman" w:cs="Times New Roman"/>
          <w:szCs w:val="24"/>
          <w:lang w:eastAsia="pl-PL"/>
        </w:rPr>
        <w:tab/>
      </w:r>
      <w:r w:rsidRPr="00233B69">
        <w:rPr>
          <w:rFonts w:eastAsia="Times New Roman" w:cs="Times New Roman"/>
          <w:szCs w:val="24"/>
          <w:lang w:eastAsia="pl-PL"/>
        </w:rPr>
        <w:tab/>
      </w:r>
      <w:r w:rsidRPr="00233B69">
        <w:rPr>
          <w:rFonts w:eastAsia="Times New Roman" w:cs="Times New Roman"/>
          <w:szCs w:val="24"/>
          <w:lang w:eastAsia="pl-PL"/>
        </w:rPr>
        <w:tab/>
      </w:r>
      <w:r w:rsidRPr="00233B69">
        <w:rPr>
          <w:rFonts w:eastAsia="Times New Roman" w:cs="Times New Roman"/>
          <w:szCs w:val="24"/>
          <w:lang w:eastAsia="pl-PL"/>
        </w:rPr>
        <w:tab/>
      </w:r>
      <w:r w:rsidRPr="00233B69">
        <w:rPr>
          <w:rFonts w:eastAsia="Times New Roman" w:cs="Times New Roman"/>
          <w:szCs w:val="24"/>
          <w:lang w:eastAsia="pl-PL"/>
        </w:rPr>
        <w:tab/>
      </w:r>
      <w:r w:rsidRPr="00233B69">
        <w:rPr>
          <w:rFonts w:eastAsia="Times New Roman" w:cs="Times New Roman"/>
          <w:szCs w:val="24"/>
          <w:lang w:eastAsia="pl-PL"/>
        </w:rPr>
        <w:tab/>
        <w:t xml:space="preserve">        Góra, dnia 16 października 2024 r.</w:t>
      </w:r>
    </w:p>
    <w:p w14:paraId="3387738B" w14:textId="77777777" w:rsidR="00233B69" w:rsidRPr="00233B69" w:rsidRDefault="00233B69" w:rsidP="00233B69">
      <w:pPr>
        <w:overflowPunct w:val="0"/>
        <w:autoSpaceDE w:val="0"/>
        <w:autoSpaceDN w:val="0"/>
        <w:adjustRightInd w:val="0"/>
        <w:spacing w:after="0" w:line="240" w:lineRule="auto"/>
        <w:rPr>
          <w:rFonts w:eastAsia="Times New Roman" w:cs="Times New Roman"/>
          <w:bCs/>
          <w:iCs/>
          <w:szCs w:val="24"/>
          <w:lang w:eastAsia="pl-PL"/>
        </w:rPr>
      </w:pPr>
      <w:r w:rsidRPr="00233B69">
        <w:rPr>
          <w:rFonts w:eastAsia="Times New Roman" w:cs="Times New Roman"/>
          <w:bCs/>
          <w:iCs/>
          <w:szCs w:val="24"/>
          <w:lang w:eastAsia="pl-PL"/>
        </w:rPr>
        <w:t>GN.6840.51.2023</w:t>
      </w:r>
    </w:p>
    <w:p w14:paraId="6E68666C" w14:textId="77777777" w:rsidR="00233B69" w:rsidRPr="00233B69" w:rsidRDefault="00233B69" w:rsidP="00233B69">
      <w:pPr>
        <w:overflowPunct w:val="0"/>
        <w:autoSpaceDE w:val="0"/>
        <w:autoSpaceDN w:val="0"/>
        <w:adjustRightInd w:val="0"/>
        <w:spacing w:after="0" w:line="240" w:lineRule="auto"/>
        <w:rPr>
          <w:rFonts w:eastAsia="Times New Roman" w:cs="Times New Roman"/>
          <w:sz w:val="26"/>
          <w:szCs w:val="24"/>
          <w:lang w:eastAsia="pl-PL"/>
        </w:rPr>
      </w:pPr>
    </w:p>
    <w:p w14:paraId="362E2FA7" w14:textId="77777777" w:rsidR="00233B69" w:rsidRPr="00233B69" w:rsidRDefault="00233B69" w:rsidP="00233B69">
      <w:pPr>
        <w:overflowPunct w:val="0"/>
        <w:autoSpaceDE w:val="0"/>
        <w:autoSpaceDN w:val="0"/>
        <w:adjustRightInd w:val="0"/>
        <w:spacing w:after="0" w:line="240" w:lineRule="auto"/>
        <w:jc w:val="center"/>
        <w:rPr>
          <w:rFonts w:eastAsia="Times New Roman" w:cs="Times New Roman"/>
          <w:b/>
          <w:bCs/>
          <w:sz w:val="32"/>
          <w:szCs w:val="24"/>
          <w:u w:val="single"/>
          <w:lang w:eastAsia="pl-PL"/>
        </w:rPr>
      </w:pPr>
      <w:r w:rsidRPr="00233B69">
        <w:rPr>
          <w:rFonts w:eastAsia="Times New Roman" w:cs="Times New Roman"/>
          <w:b/>
          <w:bCs/>
          <w:sz w:val="32"/>
          <w:szCs w:val="24"/>
          <w:u w:val="single"/>
          <w:lang w:eastAsia="pl-PL"/>
        </w:rPr>
        <w:t>WYKAZ</w:t>
      </w:r>
    </w:p>
    <w:p w14:paraId="24E6DB3B" w14:textId="77777777" w:rsidR="00233B69" w:rsidRPr="00233B69" w:rsidRDefault="00233B69" w:rsidP="00233B69">
      <w:pPr>
        <w:overflowPunct w:val="0"/>
        <w:autoSpaceDE w:val="0"/>
        <w:autoSpaceDN w:val="0"/>
        <w:adjustRightInd w:val="0"/>
        <w:spacing w:after="0" w:line="240" w:lineRule="auto"/>
        <w:rPr>
          <w:rFonts w:eastAsia="Times New Roman" w:cs="Times New Roman"/>
          <w:szCs w:val="24"/>
          <w:lang w:eastAsia="pl-PL"/>
        </w:rPr>
      </w:pPr>
    </w:p>
    <w:p w14:paraId="47753DCD"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b/>
          <w:bCs/>
          <w:szCs w:val="24"/>
          <w:lang w:eastAsia="pl-PL"/>
        </w:rPr>
      </w:pPr>
      <w:r w:rsidRPr="00233B69">
        <w:rPr>
          <w:rFonts w:eastAsia="Times New Roman" w:cs="Times New Roman"/>
          <w:b/>
          <w:bCs/>
          <w:szCs w:val="24"/>
          <w:lang w:eastAsia="pl-PL"/>
        </w:rPr>
        <w:t xml:space="preserve">Na podstawie art. 35 ust. 1 i 2 ustawy z dnia 21 sierpnia 1997 r. o gospodarce nieruchomościami (Dz. U. z 2024 r. poz. 1145) </w:t>
      </w:r>
      <w:r w:rsidRPr="00233B69">
        <w:rPr>
          <w:rFonts w:eastAsia="Times New Roman" w:cs="Times New Roman"/>
          <w:b/>
          <w:bCs/>
          <w:sz w:val="26"/>
          <w:szCs w:val="24"/>
          <w:lang w:eastAsia="pl-PL"/>
        </w:rPr>
        <w:t xml:space="preserve">BURMISTRZ GÓRY </w:t>
      </w:r>
      <w:r w:rsidRPr="00233B69">
        <w:rPr>
          <w:rFonts w:eastAsia="Times New Roman" w:cs="Times New Roman"/>
          <w:b/>
          <w:bCs/>
          <w:szCs w:val="24"/>
          <w:lang w:eastAsia="pl-PL"/>
        </w:rPr>
        <w:t xml:space="preserve">podaje </w:t>
      </w:r>
      <w:r w:rsidRPr="00233B69">
        <w:rPr>
          <w:rFonts w:eastAsia="Times New Roman" w:cs="Times New Roman"/>
          <w:b/>
          <w:bCs/>
          <w:szCs w:val="24"/>
          <w:lang w:eastAsia="pl-PL"/>
        </w:rPr>
        <w:br/>
        <w:t xml:space="preserve">do publicznej wiadomości wykaz nieruchomości przeznaczonej do zbycia na własność </w:t>
      </w:r>
      <w:r w:rsidRPr="00233B69">
        <w:rPr>
          <w:rFonts w:eastAsia="Times New Roman" w:cs="Times New Roman"/>
          <w:b/>
          <w:bCs/>
          <w:szCs w:val="24"/>
          <w:lang w:eastAsia="pl-PL"/>
        </w:rPr>
        <w:br/>
        <w:t>w drodze przetargu ustnego ograniczonego.</w:t>
      </w:r>
    </w:p>
    <w:p w14:paraId="77D0B35E" w14:textId="77777777" w:rsidR="00233B69" w:rsidRPr="00233B69" w:rsidRDefault="00233B69" w:rsidP="00233B69">
      <w:pPr>
        <w:overflowPunct w:val="0"/>
        <w:autoSpaceDE w:val="0"/>
        <w:autoSpaceDN w:val="0"/>
        <w:adjustRightInd w:val="0"/>
        <w:spacing w:after="0" w:line="240" w:lineRule="auto"/>
        <w:rPr>
          <w:rFonts w:eastAsia="Times New Roman" w:cs="Times New Roman"/>
          <w:szCs w:val="24"/>
          <w:lang w:eastAsia="pl-PL"/>
        </w:rPr>
      </w:pPr>
    </w:p>
    <w:p w14:paraId="1C7E0B72"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p>
    <w:p w14:paraId="2A89D647" w14:textId="68A42B09" w:rsidR="00233B69" w:rsidRPr="00233B69" w:rsidRDefault="00233B69" w:rsidP="00233B69">
      <w:pPr>
        <w:overflowPunct w:val="0"/>
        <w:autoSpaceDE w:val="0"/>
        <w:autoSpaceDN w:val="0"/>
        <w:adjustRightInd w:val="0"/>
        <w:spacing w:after="0" w:line="240" w:lineRule="auto"/>
        <w:rPr>
          <w:rFonts w:eastAsia="Times New Roman" w:cs="Times New Roman"/>
          <w:szCs w:val="24"/>
          <w:lang w:eastAsia="pl-PL"/>
        </w:rPr>
      </w:pPr>
      <w:r w:rsidRPr="00233B69">
        <w:rPr>
          <w:rFonts w:eastAsia="Times New Roman" w:cs="Times New Roman"/>
          <w:noProof/>
          <w:szCs w:val="24"/>
          <w:lang w:eastAsia="pl-PL"/>
        </w:rPr>
        <mc:AlternateContent>
          <mc:Choice Requires="wps">
            <w:drawing>
              <wp:anchor distT="0" distB="0" distL="114300" distR="114300" simplePos="0" relativeHeight="251659264" behindDoc="0" locked="0" layoutInCell="1" allowOverlap="1" wp14:anchorId="7B01DC74" wp14:editId="03C64726">
                <wp:simplePos x="0" y="0"/>
                <wp:positionH relativeFrom="column">
                  <wp:posOffset>3862705</wp:posOffset>
                </wp:positionH>
                <wp:positionV relativeFrom="paragraph">
                  <wp:posOffset>248920</wp:posOffset>
                </wp:positionV>
                <wp:extent cx="2524125" cy="2481580"/>
                <wp:effectExtent l="9525" t="9525" r="9525" b="13970"/>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2481580"/>
                        </a:xfrm>
                        <a:prstGeom prst="rect">
                          <a:avLst/>
                        </a:prstGeom>
                        <a:solidFill>
                          <a:srgbClr val="FFFFFF"/>
                        </a:solidFill>
                        <a:ln w="9525">
                          <a:solidFill>
                            <a:srgbClr val="000000"/>
                          </a:solidFill>
                          <a:miter lim="800000"/>
                          <a:headEnd/>
                          <a:tailEnd/>
                        </a:ln>
                      </wps:spPr>
                      <wps:txbx>
                        <w:txbxContent>
                          <w:p w14:paraId="0C699C22" w14:textId="3A8C3FEB" w:rsidR="00233B69" w:rsidRDefault="00233B69" w:rsidP="00233B69">
                            <w:r w:rsidRPr="00505CAB">
                              <w:rPr>
                                <w:noProof/>
                              </w:rPr>
                              <w:drawing>
                                <wp:inline distT="0" distB="0" distL="0" distR="0" wp14:anchorId="1173394B" wp14:editId="1A228D1D">
                                  <wp:extent cx="2514600" cy="238125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14600" cy="238125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B01DC74" id="_x0000_t202" coordsize="21600,21600" o:spt="202" path="m,l,21600r21600,l21600,xe">
                <v:stroke joinstyle="miter"/>
                <v:path gradientshapeok="t" o:connecttype="rect"/>
              </v:shapetype>
              <v:shape id="Pole tekstowe 2" o:spid="_x0000_s1026" type="#_x0000_t202" style="position:absolute;margin-left:304.15pt;margin-top:19.6pt;width:198.75pt;height:19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">
                <v:textbox style="mso-fit-shape-to-text:t">
                  <w:txbxContent>
                    <w:p w14:paraId="0C699C22" w14:textId="3A8C3FEB" w:rsidR="00233B69" w:rsidRDefault="00233B69" w:rsidP="00233B69">
                      <w:r w:rsidRPr="00505CAB">
                        <w:rPr>
                          <w:noProof/>
                        </w:rPr>
                        <w:drawing>
                          <wp:inline distT="0" distB="0" distL="0" distR="0" wp14:anchorId="1173394B" wp14:editId="1A228D1D">
                            <wp:extent cx="2514600" cy="238125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14600" cy="2381250"/>
                                    </a:xfrm>
                                    <a:prstGeom prst="rect">
                                      <a:avLst/>
                                    </a:prstGeom>
                                    <a:noFill/>
                                    <a:ln>
                                      <a:noFill/>
                                    </a:ln>
                                  </pic:spPr>
                                </pic:pic>
                              </a:graphicData>
                            </a:graphic>
                          </wp:inline>
                        </w:drawing>
                      </w:r>
                    </w:p>
                  </w:txbxContent>
                </v:textbox>
              </v:shape>
            </w:pict>
          </mc:Fallback>
        </mc:AlternateContent>
      </w:r>
      <w:r w:rsidRPr="00233B69">
        <w:rPr>
          <w:rFonts w:eastAsia="Times New Roman" w:cs="Times New Roman"/>
          <w:szCs w:val="24"/>
          <w:lang w:eastAsia="pl-PL"/>
        </w:rPr>
        <w:t xml:space="preserve">1. Nieruchomość rolna niezabudowana położona w obrębie miejscowości </w:t>
      </w:r>
      <w:r w:rsidRPr="00233B69">
        <w:rPr>
          <w:rFonts w:eastAsia="Times New Roman" w:cs="Times New Roman"/>
          <w:b/>
          <w:bCs/>
          <w:szCs w:val="24"/>
          <w:lang w:eastAsia="pl-PL"/>
        </w:rPr>
        <w:t>Radosław</w:t>
      </w:r>
      <w:r w:rsidRPr="00233B69">
        <w:rPr>
          <w:rFonts w:eastAsia="Times New Roman" w:cs="Times New Roman"/>
          <w:szCs w:val="24"/>
          <w:lang w:eastAsia="pl-PL"/>
        </w:rPr>
        <w:t>,</w:t>
      </w:r>
      <w:r w:rsidRPr="00233B69">
        <w:rPr>
          <w:rFonts w:eastAsia="Times New Roman" w:cs="Times New Roman"/>
          <w:b/>
          <w:bCs/>
          <w:szCs w:val="24"/>
          <w:lang w:eastAsia="pl-PL"/>
        </w:rPr>
        <w:t xml:space="preserve"> </w:t>
      </w:r>
      <w:r w:rsidRPr="00233B69">
        <w:rPr>
          <w:rFonts w:eastAsia="Times New Roman" w:cs="Times New Roman"/>
          <w:szCs w:val="24"/>
          <w:lang w:eastAsia="pl-PL"/>
        </w:rPr>
        <w:t>oznaczona w ewidencji gruntów jako działka nr:</w:t>
      </w:r>
      <w:r w:rsidRPr="00233B69">
        <w:rPr>
          <w:rFonts w:ascii="Bookman Old Style" w:eastAsia="Times New Roman" w:hAnsi="Bookman Old Style" w:cs="Times New Roman"/>
          <w:szCs w:val="24"/>
          <w:lang w:eastAsia="pl-PL"/>
        </w:rPr>
        <w:t xml:space="preserve"> </w:t>
      </w:r>
      <w:r w:rsidRPr="00233B69">
        <w:rPr>
          <w:rFonts w:ascii="Bookman Old Style" w:eastAsia="Times New Roman" w:hAnsi="Bookman Old Style" w:cs="Times New Roman"/>
          <w:szCs w:val="24"/>
          <w:lang w:eastAsia="pl-PL"/>
        </w:rPr>
        <w:tab/>
      </w:r>
      <w:r w:rsidRPr="00233B69">
        <w:rPr>
          <w:rFonts w:ascii="Bookman Old Style" w:eastAsia="Times New Roman" w:hAnsi="Bookman Old Style" w:cs="Times New Roman"/>
          <w:szCs w:val="24"/>
          <w:lang w:eastAsia="pl-PL"/>
        </w:rPr>
        <w:tab/>
      </w:r>
      <w:r w:rsidRPr="00233B69">
        <w:rPr>
          <w:rFonts w:ascii="Bookman Old Style" w:eastAsia="Times New Roman" w:hAnsi="Bookman Old Style" w:cs="Times New Roman"/>
          <w:szCs w:val="24"/>
          <w:lang w:eastAsia="pl-PL"/>
        </w:rPr>
        <w:tab/>
      </w:r>
    </w:p>
    <w:p w14:paraId="04EE2EAC" w14:textId="77777777" w:rsidR="00233B69" w:rsidRPr="00233B69" w:rsidRDefault="00233B69" w:rsidP="00233B69">
      <w:pPr>
        <w:numPr>
          <w:ilvl w:val="0"/>
          <w:numId w:val="1"/>
        </w:numPr>
        <w:overflowPunct w:val="0"/>
        <w:autoSpaceDE w:val="0"/>
        <w:autoSpaceDN w:val="0"/>
        <w:adjustRightInd w:val="0"/>
        <w:spacing w:after="0" w:line="240" w:lineRule="auto"/>
        <w:jc w:val="both"/>
        <w:rPr>
          <w:rFonts w:eastAsia="Times New Roman" w:cs="Times New Roman"/>
          <w:b/>
          <w:bCs/>
          <w:szCs w:val="24"/>
          <w:lang w:eastAsia="pl-PL"/>
        </w:rPr>
      </w:pPr>
      <w:r w:rsidRPr="00233B69">
        <w:rPr>
          <w:rFonts w:eastAsia="Times New Roman" w:cs="Times New Roman"/>
          <w:b/>
          <w:bCs/>
          <w:szCs w:val="24"/>
          <w:lang w:eastAsia="pl-PL"/>
        </w:rPr>
        <w:t xml:space="preserve">649 o powierzchni całkowitej 0,4466 ha; </w:t>
      </w:r>
    </w:p>
    <w:p w14:paraId="40813DE6"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b/>
          <w:bCs/>
          <w:szCs w:val="24"/>
          <w:lang w:eastAsia="pl-PL"/>
        </w:rPr>
      </w:pPr>
      <w:r w:rsidRPr="00233B69">
        <w:rPr>
          <w:rFonts w:eastAsia="Times New Roman" w:cs="Times New Roman"/>
          <w:b/>
          <w:bCs/>
          <w:szCs w:val="24"/>
          <w:lang w:eastAsia="pl-PL"/>
        </w:rPr>
        <w:t xml:space="preserve">sklasyfikowana jako: </w:t>
      </w:r>
      <w:proofErr w:type="spellStart"/>
      <w:r w:rsidRPr="00233B69">
        <w:rPr>
          <w:rFonts w:eastAsia="Times New Roman" w:cs="Times New Roman"/>
          <w:b/>
          <w:bCs/>
          <w:szCs w:val="24"/>
          <w:lang w:eastAsia="pl-PL"/>
        </w:rPr>
        <w:t>RIIIb</w:t>
      </w:r>
      <w:proofErr w:type="spellEnd"/>
      <w:r w:rsidRPr="00233B69">
        <w:rPr>
          <w:rFonts w:eastAsia="Times New Roman" w:cs="Times New Roman"/>
          <w:b/>
          <w:bCs/>
          <w:szCs w:val="24"/>
          <w:lang w:eastAsia="pl-PL"/>
        </w:rPr>
        <w:t xml:space="preserve"> (0,2306 ha), </w:t>
      </w:r>
      <w:proofErr w:type="spellStart"/>
      <w:r w:rsidRPr="00233B69">
        <w:rPr>
          <w:rFonts w:eastAsia="Times New Roman" w:cs="Times New Roman"/>
          <w:b/>
          <w:bCs/>
          <w:szCs w:val="24"/>
          <w:lang w:eastAsia="pl-PL"/>
        </w:rPr>
        <w:t>RIVb</w:t>
      </w:r>
      <w:proofErr w:type="spellEnd"/>
      <w:r w:rsidRPr="00233B69">
        <w:rPr>
          <w:rFonts w:eastAsia="Times New Roman" w:cs="Times New Roman"/>
          <w:b/>
          <w:bCs/>
          <w:szCs w:val="24"/>
          <w:lang w:eastAsia="pl-PL"/>
        </w:rPr>
        <w:t xml:space="preserve"> (0,1715 ha)</w:t>
      </w:r>
    </w:p>
    <w:p w14:paraId="393069FC"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r w:rsidRPr="00233B69">
        <w:rPr>
          <w:rFonts w:eastAsia="Times New Roman" w:cs="Times New Roman"/>
          <w:b/>
          <w:bCs/>
          <w:szCs w:val="24"/>
          <w:lang w:eastAsia="pl-PL"/>
        </w:rPr>
        <w:t xml:space="preserve">i RV (0,0445 ha), </w:t>
      </w:r>
      <w:r w:rsidRPr="00233B69">
        <w:rPr>
          <w:rFonts w:eastAsia="Times New Roman" w:cs="Times New Roman"/>
          <w:szCs w:val="24"/>
          <w:lang w:eastAsia="pl-PL"/>
        </w:rPr>
        <w:t>dla której Sąd Rejonowy w Głogowie</w:t>
      </w:r>
    </w:p>
    <w:p w14:paraId="115EC2B0"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r w:rsidRPr="00233B69">
        <w:rPr>
          <w:rFonts w:eastAsia="Times New Roman" w:cs="Times New Roman"/>
          <w:szCs w:val="24"/>
          <w:lang w:eastAsia="pl-PL"/>
        </w:rPr>
        <w:t>prowadzi księgę wieczystą nr LE1G/00086063/6.</w:t>
      </w:r>
    </w:p>
    <w:p w14:paraId="7B5FA11E" w14:textId="77777777" w:rsidR="00233B69" w:rsidRPr="00233B69" w:rsidRDefault="00233B69" w:rsidP="00233B69">
      <w:pPr>
        <w:overflowPunct w:val="0"/>
        <w:autoSpaceDE w:val="0"/>
        <w:autoSpaceDN w:val="0"/>
        <w:adjustRightInd w:val="0"/>
        <w:spacing w:after="0" w:line="240" w:lineRule="auto"/>
        <w:rPr>
          <w:rFonts w:ascii="Bookman Old Style" w:eastAsia="Times New Roman" w:hAnsi="Bookman Old Style" w:cs="Times New Roman"/>
          <w:szCs w:val="24"/>
          <w:lang w:eastAsia="pl-PL"/>
        </w:rPr>
      </w:pPr>
      <w:r w:rsidRPr="00233B69">
        <w:rPr>
          <w:rFonts w:eastAsia="Times New Roman" w:cs="Times New Roman"/>
          <w:szCs w:val="24"/>
          <w:lang w:eastAsia="pl-PL"/>
        </w:rPr>
        <w:t>Działka wolna jest od ciężarów, ograniczeń i hipotek.</w:t>
      </w:r>
      <w:r w:rsidRPr="00233B69">
        <w:rPr>
          <w:rFonts w:ascii="Bookman Old Style" w:eastAsia="Times New Roman" w:hAnsi="Bookman Old Style" w:cs="Times New Roman"/>
          <w:szCs w:val="24"/>
          <w:lang w:eastAsia="pl-PL"/>
        </w:rPr>
        <w:t xml:space="preserve"> </w:t>
      </w:r>
    </w:p>
    <w:p w14:paraId="1EB4EB2B"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p>
    <w:p w14:paraId="1DAEA06C"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r w:rsidRPr="00233B69">
        <w:rPr>
          <w:rFonts w:eastAsia="Times New Roman" w:cs="Times New Roman"/>
          <w:szCs w:val="24"/>
          <w:lang w:eastAsia="pl-PL"/>
        </w:rPr>
        <w:t>W Planie Zagospodarowania Przestrzennego dla Gminy Góry</w:t>
      </w:r>
    </w:p>
    <w:p w14:paraId="4F4D13DE"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r w:rsidRPr="00233B69">
        <w:rPr>
          <w:rFonts w:eastAsia="Times New Roman" w:cs="Times New Roman"/>
          <w:szCs w:val="24"/>
          <w:lang w:eastAsia="pl-PL"/>
        </w:rPr>
        <w:t xml:space="preserve">nieruchomość znajduje się w jednostce bilansowej </w:t>
      </w:r>
      <w:r w:rsidRPr="00233B69">
        <w:rPr>
          <w:rFonts w:eastAsia="Times New Roman" w:cs="Times New Roman"/>
          <w:b/>
          <w:bCs/>
          <w:szCs w:val="24"/>
          <w:lang w:eastAsia="pl-PL"/>
        </w:rPr>
        <w:t>RM/33</w:t>
      </w:r>
      <w:r w:rsidRPr="00233B69">
        <w:rPr>
          <w:rFonts w:eastAsia="Times New Roman" w:cs="Times New Roman"/>
          <w:szCs w:val="24"/>
          <w:lang w:eastAsia="pl-PL"/>
        </w:rPr>
        <w:t xml:space="preserve">, </w:t>
      </w:r>
    </w:p>
    <w:p w14:paraId="5B00142C" w14:textId="77777777" w:rsidR="00233B69" w:rsidRPr="00233B69" w:rsidRDefault="00233B69" w:rsidP="00233B69">
      <w:pPr>
        <w:overflowPunct w:val="0"/>
        <w:autoSpaceDE w:val="0"/>
        <w:autoSpaceDN w:val="0"/>
        <w:adjustRightInd w:val="0"/>
        <w:spacing w:after="0" w:line="240" w:lineRule="auto"/>
        <w:rPr>
          <w:rFonts w:eastAsia="Times New Roman" w:cs="Times New Roman"/>
          <w:szCs w:val="24"/>
          <w:lang w:eastAsia="pl-PL"/>
        </w:rPr>
      </w:pPr>
      <w:r w:rsidRPr="00233B69">
        <w:rPr>
          <w:rFonts w:eastAsia="Times New Roman" w:cs="Times New Roman"/>
          <w:szCs w:val="24"/>
          <w:lang w:eastAsia="pl-PL"/>
        </w:rPr>
        <w:t xml:space="preserve">dla której ustala się przeznaczenie na tereny zabudowy </w:t>
      </w:r>
      <w:r w:rsidRPr="00233B69">
        <w:rPr>
          <w:rFonts w:eastAsia="Times New Roman" w:cs="Times New Roman"/>
          <w:szCs w:val="24"/>
          <w:lang w:eastAsia="pl-PL"/>
        </w:rPr>
        <w:br/>
        <w:t xml:space="preserve">zagrodowej. </w:t>
      </w:r>
    </w:p>
    <w:p w14:paraId="2D12C4BC"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u w:val="single"/>
          <w:lang w:eastAsia="pl-PL"/>
        </w:rPr>
      </w:pPr>
    </w:p>
    <w:p w14:paraId="44123797" w14:textId="77777777" w:rsidR="00233B69" w:rsidRPr="00233B69" w:rsidRDefault="00233B69" w:rsidP="00233B69">
      <w:pPr>
        <w:overflowPunct w:val="0"/>
        <w:autoSpaceDE w:val="0"/>
        <w:autoSpaceDN w:val="0"/>
        <w:adjustRightInd w:val="0"/>
        <w:spacing w:after="0" w:line="240" w:lineRule="auto"/>
        <w:rPr>
          <w:rFonts w:eastAsia="Times New Roman" w:cs="Times New Roman"/>
          <w:szCs w:val="24"/>
          <w:lang w:eastAsia="pl-PL"/>
        </w:rPr>
      </w:pPr>
      <w:r w:rsidRPr="00233B69">
        <w:rPr>
          <w:rFonts w:eastAsia="Times New Roman" w:cs="Times New Roman"/>
          <w:szCs w:val="24"/>
          <w:lang w:eastAsia="pl-PL"/>
        </w:rPr>
        <w:t xml:space="preserve">Działka nie posiada dostępu do drogi. Działka nie jest </w:t>
      </w:r>
      <w:r w:rsidRPr="00233B69">
        <w:rPr>
          <w:rFonts w:eastAsia="Times New Roman" w:cs="Times New Roman"/>
          <w:szCs w:val="24"/>
          <w:lang w:eastAsia="pl-PL"/>
        </w:rPr>
        <w:br/>
        <w:t xml:space="preserve">zagospodarowana. </w:t>
      </w:r>
    </w:p>
    <w:p w14:paraId="09EB66CA" w14:textId="77777777" w:rsidR="00233B69" w:rsidRPr="00233B69" w:rsidRDefault="00233B69" w:rsidP="00233B69">
      <w:pPr>
        <w:overflowPunct w:val="0"/>
        <w:autoSpaceDE w:val="0"/>
        <w:autoSpaceDN w:val="0"/>
        <w:adjustRightInd w:val="0"/>
        <w:spacing w:after="0" w:line="240" w:lineRule="auto"/>
        <w:rPr>
          <w:rFonts w:eastAsia="Times New Roman" w:cs="Times New Roman"/>
          <w:szCs w:val="24"/>
          <w:lang w:eastAsia="pl-PL"/>
        </w:rPr>
      </w:pPr>
    </w:p>
    <w:p w14:paraId="26D2F913" w14:textId="77777777" w:rsidR="00233B69" w:rsidRPr="00233B69" w:rsidRDefault="00233B69" w:rsidP="00233B69">
      <w:pPr>
        <w:spacing w:after="0" w:line="240" w:lineRule="auto"/>
        <w:jc w:val="both"/>
        <w:rPr>
          <w:rFonts w:eastAsia="Times New Roman" w:cs="Times New Roman"/>
          <w:szCs w:val="24"/>
          <w:lang w:eastAsia="pl-PL"/>
        </w:rPr>
      </w:pPr>
      <w:r w:rsidRPr="00233B69">
        <w:rPr>
          <w:rFonts w:eastAsia="Times New Roman" w:cs="Times New Roman"/>
          <w:szCs w:val="24"/>
          <w:lang w:eastAsia="pl-PL"/>
        </w:rPr>
        <w:t xml:space="preserve">2. </w:t>
      </w:r>
      <w:r w:rsidRPr="00233B69">
        <w:rPr>
          <w:rFonts w:eastAsia="Times New Roman" w:cs="Times New Roman"/>
          <w:szCs w:val="24"/>
          <w:u w:val="single"/>
          <w:lang w:eastAsia="pl-PL"/>
        </w:rPr>
        <w:t>Przetarg ogranicza się do właścicieli i posiadaczy nieruchomości sąsiadujących (przylegających) do przedmiotowej działki, ze względu na brak bezpośredniego dostępu działki do drogi, tj. do właścicieli działek nr 651/4, 651/2, 652, 644/1 oraz 648/4.</w:t>
      </w:r>
    </w:p>
    <w:p w14:paraId="06AA0F65" w14:textId="77777777" w:rsidR="00233B69" w:rsidRPr="00233B69" w:rsidRDefault="00233B69" w:rsidP="00233B69">
      <w:pPr>
        <w:overflowPunct w:val="0"/>
        <w:autoSpaceDE w:val="0"/>
        <w:autoSpaceDN w:val="0"/>
        <w:adjustRightInd w:val="0"/>
        <w:spacing w:after="0" w:line="240" w:lineRule="auto"/>
        <w:rPr>
          <w:rFonts w:ascii="Bookman Old Style" w:eastAsia="Times New Roman" w:hAnsi="Bookman Old Style" w:cs="Times New Roman"/>
          <w:color w:val="FF0000"/>
          <w:szCs w:val="24"/>
          <w:u w:val="single"/>
          <w:lang w:eastAsia="pl-PL"/>
        </w:rPr>
      </w:pPr>
      <w:r w:rsidRPr="00233B69">
        <w:rPr>
          <w:rFonts w:eastAsia="Times New Roman" w:cs="Times New Roman"/>
          <w:color w:val="FF0000"/>
          <w:szCs w:val="24"/>
          <w:lang w:eastAsia="pl-PL"/>
        </w:rPr>
        <w:t xml:space="preserve">                    </w:t>
      </w:r>
    </w:p>
    <w:p w14:paraId="451D3FBA" w14:textId="77777777" w:rsidR="00233B69" w:rsidRPr="00233B69" w:rsidRDefault="00233B69" w:rsidP="00233B69">
      <w:pPr>
        <w:spacing w:after="0" w:line="240" w:lineRule="auto"/>
        <w:jc w:val="both"/>
        <w:rPr>
          <w:rFonts w:eastAsia="Times New Roman" w:cs="Times New Roman"/>
          <w:sz w:val="18"/>
          <w:szCs w:val="24"/>
          <w:lang w:eastAsia="pl-PL"/>
        </w:rPr>
      </w:pPr>
      <w:r w:rsidRPr="00233B69">
        <w:rPr>
          <w:rFonts w:eastAsia="Times New Roman" w:cs="Times New Roman"/>
          <w:szCs w:val="24"/>
          <w:u w:val="single"/>
          <w:lang w:eastAsia="pl-PL"/>
        </w:rPr>
        <w:t xml:space="preserve">3. </w:t>
      </w:r>
      <w:r w:rsidRPr="00233B69">
        <w:rPr>
          <w:rFonts w:eastAsia="Times New Roman" w:cs="Times New Roman"/>
          <w:b/>
          <w:bCs/>
          <w:szCs w:val="24"/>
          <w:u w:val="single"/>
          <w:lang w:eastAsia="pl-PL"/>
        </w:rPr>
        <w:t>Cena wywoławcza nieruchomości ustalona została  na kwotę  136.000,00</w:t>
      </w:r>
      <w:r w:rsidRPr="00233B69">
        <w:rPr>
          <w:rFonts w:eastAsia="Times New Roman" w:cs="Times New Roman"/>
          <w:b/>
          <w:bCs/>
          <w:sz w:val="28"/>
          <w:szCs w:val="24"/>
          <w:u w:val="single"/>
          <w:lang w:eastAsia="pl-PL"/>
        </w:rPr>
        <w:t xml:space="preserve"> zł</w:t>
      </w:r>
      <w:r w:rsidRPr="00233B69">
        <w:rPr>
          <w:rFonts w:eastAsia="Times New Roman" w:cs="Times New Roman"/>
          <w:b/>
          <w:bCs/>
          <w:szCs w:val="24"/>
          <w:u w:val="single"/>
          <w:lang w:eastAsia="pl-PL"/>
        </w:rPr>
        <w:t>,</w:t>
      </w:r>
      <w:r w:rsidRPr="00233B69">
        <w:rPr>
          <w:rFonts w:eastAsia="Times New Roman" w:cs="Times New Roman"/>
          <w:b/>
          <w:bCs/>
          <w:sz w:val="22"/>
          <w:u w:val="single"/>
          <w:lang w:eastAsia="pl-PL"/>
        </w:rPr>
        <w:t xml:space="preserve"> </w:t>
      </w:r>
      <w:r w:rsidRPr="00233B69">
        <w:rPr>
          <w:rFonts w:eastAsia="Times New Roman" w:cs="Times New Roman"/>
          <w:b/>
          <w:bCs/>
          <w:sz w:val="22"/>
          <w:u w:val="single"/>
          <w:lang w:eastAsia="pl-PL"/>
        </w:rPr>
        <w:br/>
      </w:r>
      <w:r w:rsidRPr="00233B69">
        <w:rPr>
          <w:rFonts w:eastAsia="Times New Roman" w:cs="Times New Roman"/>
          <w:sz w:val="18"/>
          <w:szCs w:val="24"/>
          <w:lang w:eastAsia="pl-PL"/>
        </w:rPr>
        <w:t>Do ceny nieruchomości osiągniętej w wyniku przetargu zostanie doliczony 23% podatek VAT, zgodnie z ustawą z dnia                   11 marca 2004 r. o podatku od towarów i usług (Dz. U. z 2024 r. poz. 361).</w:t>
      </w:r>
    </w:p>
    <w:p w14:paraId="0E229897" w14:textId="77777777" w:rsidR="00233B69" w:rsidRPr="00233B69" w:rsidRDefault="00233B69" w:rsidP="00233B69">
      <w:pPr>
        <w:spacing w:after="0" w:line="240" w:lineRule="auto"/>
        <w:rPr>
          <w:rFonts w:eastAsia="Times New Roman" w:cs="Times New Roman"/>
          <w:szCs w:val="24"/>
          <w:lang w:eastAsia="pl-PL"/>
        </w:rPr>
      </w:pPr>
    </w:p>
    <w:p w14:paraId="6044A069" w14:textId="77777777" w:rsidR="00233B69" w:rsidRPr="00233B69" w:rsidRDefault="00233B69" w:rsidP="00233B69">
      <w:pPr>
        <w:spacing w:after="0" w:line="240" w:lineRule="auto"/>
        <w:rPr>
          <w:rFonts w:eastAsia="Times New Roman" w:cs="Times New Roman"/>
          <w:szCs w:val="24"/>
          <w:lang w:eastAsia="pl-PL"/>
        </w:rPr>
      </w:pPr>
      <w:r w:rsidRPr="00233B69">
        <w:rPr>
          <w:rFonts w:eastAsia="Times New Roman" w:cs="Times New Roman"/>
          <w:szCs w:val="24"/>
          <w:lang w:eastAsia="pl-PL"/>
        </w:rPr>
        <w:t>4. Nieruchomość przeznacza się do zbycia na własność.</w:t>
      </w:r>
    </w:p>
    <w:p w14:paraId="43CAC7E4" w14:textId="77777777" w:rsidR="00233B69" w:rsidRPr="00233B69" w:rsidRDefault="00233B69" w:rsidP="00233B69">
      <w:pPr>
        <w:spacing w:after="0" w:line="240" w:lineRule="auto"/>
        <w:rPr>
          <w:rFonts w:eastAsia="Times New Roman" w:cs="Times New Roman"/>
          <w:szCs w:val="24"/>
          <w:lang w:eastAsia="pl-PL"/>
        </w:rPr>
      </w:pPr>
    </w:p>
    <w:p w14:paraId="5563574F"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ascii="Bookman Old Style" w:eastAsia="Times New Roman" w:hAnsi="Bookman Old Style" w:cs="Times New Roman"/>
          <w:szCs w:val="24"/>
          <w:lang w:eastAsia="pl-PL"/>
        </w:rPr>
        <w:t xml:space="preserve">5. </w:t>
      </w:r>
      <w:r w:rsidRPr="00233B69">
        <w:rPr>
          <w:rFonts w:eastAsia="Times New Roman" w:cs="Times New Roman"/>
          <w:sz w:val="22"/>
          <w:lang w:eastAsia="pl-PL"/>
        </w:rPr>
        <w:t xml:space="preserve">Zgodnie z przepisami ustawy z dnia 11 kwietnia 2003 r. o kształtowaniu ustroju rolnego (Dz. U. </w:t>
      </w:r>
      <w:r w:rsidRPr="00233B69">
        <w:rPr>
          <w:rFonts w:eastAsia="Times New Roman" w:cs="Times New Roman"/>
          <w:sz w:val="22"/>
          <w:lang w:eastAsia="pl-PL"/>
        </w:rPr>
        <w:br/>
        <w:t>z 2024 r. poz. 423), w</w:t>
      </w:r>
      <w:r w:rsidRPr="00233B69">
        <w:rPr>
          <w:rFonts w:eastAsia="Times New Roman" w:cs="Times New Roman"/>
          <w:sz w:val="22"/>
          <w:u w:val="single"/>
          <w:lang w:eastAsia="pl-PL"/>
        </w:rPr>
        <w:t xml:space="preserve"> przypadku, gdy kandydatem na nabywcę nieruchomości rolnej zostanie rolnik indywidualny, spełniający kryteria określone w cytowanej wyżej ustawie - Krajowemu Ośrodkowi Wsparcia Rolnictwa – prawo pierwokupu nie przysługuje.</w:t>
      </w:r>
      <w:r w:rsidRPr="00233B69">
        <w:rPr>
          <w:rFonts w:eastAsia="Times New Roman" w:cs="Times New Roman"/>
          <w:sz w:val="22"/>
          <w:lang w:eastAsia="pl-PL"/>
        </w:rPr>
        <w:t xml:space="preserve"> </w:t>
      </w:r>
    </w:p>
    <w:p w14:paraId="5F19579A"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u w:val="single"/>
          <w:lang w:eastAsia="pl-PL"/>
        </w:rPr>
      </w:pPr>
      <w:r w:rsidRPr="00233B69">
        <w:rPr>
          <w:rFonts w:eastAsia="Times New Roman" w:cs="Times New Roman"/>
          <w:sz w:val="22"/>
          <w:u w:val="single"/>
          <w:lang w:eastAsia="pl-PL"/>
        </w:rPr>
        <w:t>Prawo nabycia nie przysługuje KOWR m.in. także, jeżeli nabycie nieruchomości rolnej następuje:</w:t>
      </w:r>
    </w:p>
    <w:p w14:paraId="6A4289FB"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przez rolnika indywidualnego w wyniku zapisu windykacyjnego,</w:t>
      </w:r>
    </w:p>
    <w:p w14:paraId="15B456A0"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w wyniku dziedziczenia ustawowego albo dziedziczenia przez rolnika indywidualnego,</w:t>
      </w:r>
    </w:p>
    <w:p w14:paraId="426BF5F1"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przez osobę bliską zbywcy,</w:t>
      </w:r>
    </w:p>
    <w:p w14:paraId="42C6F2C5"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za zgodą Dyrektora Generalnego Krajowego Ośrodka Wsparcia Rolnictwa, wyrażoną w drodze decyzji administracyjnej, o której mowa w art. 2a ust. 4 ustawy o kształtowaniu ustroju rolnego</w:t>
      </w:r>
    </w:p>
    <w:p w14:paraId="655C4FB3"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przez Spółkę Celową,</w:t>
      </w:r>
    </w:p>
    <w:p w14:paraId="216A6198"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lastRenderedPageBreak/>
        <w:t>- przez spółdzielnię produkcji rolnej,</w:t>
      </w:r>
    </w:p>
    <w:p w14:paraId="092EB659"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przez członka spółdzielni produkcji rolnej,</w:t>
      </w:r>
    </w:p>
    <w:p w14:paraId="60163BAA"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w wyniku wykonania umowy z następcą,</w:t>
      </w:r>
    </w:p>
    <w:p w14:paraId="4FFBBF99"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pomiędzy osobami prawnymi działającymi na podstawie przepisów o stosunku Państwa do Kościoła Katolickiego w Rzeczpospolitej Polskiej.</w:t>
      </w:r>
    </w:p>
    <w:p w14:paraId="07F23E6E"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p>
    <w:p w14:paraId="195B0465"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 w:val="22"/>
          <w:lang w:eastAsia="pl-PL"/>
        </w:rPr>
      </w:pPr>
      <w:r w:rsidRPr="00233B69">
        <w:rPr>
          <w:rFonts w:eastAsia="Times New Roman" w:cs="Times New Roman"/>
          <w:sz w:val="22"/>
          <w:lang w:eastAsia="pl-PL"/>
        </w:rPr>
        <w:t xml:space="preserve">W pozostałych przypadkach Krajowemu Ośrodkowi Wsparcia Rolnictwa przysługuje prawo pierwokupu nieruchomości rolnej. Strony sprzedaży zobowiązane są zawrzeć warunkową umowę sprzedażą, która niezwłocznie przesyłana jest do KOWR, właściwego ze względu na miejsce położenia nieruchomości. Prawo pierwokupu KOWR wykonuje w ciągu miesiąca od otrzymania zawiadomienia o treści zawartej warunkowej umowy sprzedaży. </w:t>
      </w:r>
    </w:p>
    <w:p w14:paraId="53C45302"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p>
    <w:p w14:paraId="2DB15609" w14:textId="51D13B6F" w:rsidR="00233B69" w:rsidRPr="00233B69" w:rsidRDefault="00233B69" w:rsidP="00233B69">
      <w:pPr>
        <w:overflowPunct w:val="0"/>
        <w:autoSpaceDE w:val="0"/>
        <w:autoSpaceDN w:val="0"/>
        <w:adjustRightInd w:val="0"/>
        <w:spacing w:after="0" w:line="240" w:lineRule="auto"/>
        <w:jc w:val="both"/>
        <w:rPr>
          <w:rFonts w:eastAsia="Times New Roman" w:cs="Times New Roman"/>
          <w:b/>
          <w:bCs/>
          <w:szCs w:val="24"/>
          <w:u w:val="single"/>
          <w:lang w:eastAsia="pl-PL"/>
        </w:rPr>
      </w:pPr>
      <w:r w:rsidRPr="00233B69">
        <w:rPr>
          <w:rFonts w:eastAsia="Times New Roman" w:cs="Times New Roman"/>
          <w:szCs w:val="24"/>
          <w:lang w:eastAsia="pl-PL"/>
        </w:rPr>
        <w:t xml:space="preserve">5. Zgodnie z art. 34 ust. 1 i 2 ustawy z dnia 21 sierpnia 1997 r. o gospodarce nieruchomościami, prawo pierwszeństwa w nabyciu nieruchomości mają osoby, którym przysługuje roszczenie </w:t>
      </w:r>
      <w:r>
        <w:rPr>
          <w:rFonts w:eastAsia="Times New Roman" w:cs="Times New Roman"/>
          <w:szCs w:val="24"/>
          <w:lang w:eastAsia="pl-PL"/>
        </w:rPr>
        <w:br/>
      </w:r>
      <w:r w:rsidRPr="00233B69">
        <w:rPr>
          <w:rFonts w:eastAsia="Times New Roman" w:cs="Times New Roman"/>
          <w:szCs w:val="24"/>
          <w:lang w:eastAsia="pl-PL"/>
        </w:rPr>
        <w:t>o nabycie lub są poprzednimi właścicielami zbywanej nieruchomości pozbawionymi prawa własności tej nieruchomości przed 05.12.1990r. albo ich spadkobiercami, jeżeli złożą wniosek o ich nabycie w terminie do dnia</w:t>
      </w:r>
      <w:r w:rsidRPr="00233B69">
        <w:rPr>
          <w:rFonts w:eastAsia="Times New Roman" w:cs="Times New Roman"/>
          <w:b/>
          <w:bCs/>
          <w:szCs w:val="24"/>
          <w:u w:val="single"/>
          <w:lang w:eastAsia="pl-PL"/>
        </w:rPr>
        <w:t xml:space="preserve"> 06 grudnia 2024 r.</w:t>
      </w:r>
    </w:p>
    <w:p w14:paraId="073E56BD" w14:textId="77777777" w:rsidR="00233B69" w:rsidRPr="00233B69" w:rsidRDefault="00233B69" w:rsidP="00233B69">
      <w:pPr>
        <w:overflowPunct w:val="0"/>
        <w:autoSpaceDE w:val="0"/>
        <w:autoSpaceDN w:val="0"/>
        <w:adjustRightInd w:val="0"/>
        <w:spacing w:after="0" w:line="240" w:lineRule="auto"/>
        <w:rPr>
          <w:rFonts w:eastAsia="Times New Roman" w:cs="Times New Roman"/>
          <w:b/>
          <w:bCs/>
          <w:szCs w:val="24"/>
          <w:u w:val="single"/>
          <w:lang w:eastAsia="pl-PL"/>
        </w:rPr>
      </w:pPr>
    </w:p>
    <w:p w14:paraId="7D923E5D"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r w:rsidRPr="00233B69">
        <w:rPr>
          <w:rFonts w:eastAsia="Times New Roman" w:cs="Times New Roman"/>
          <w:szCs w:val="24"/>
          <w:lang w:eastAsia="pl-PL"/>
        </w:rPr>
        <w:t>6.</w:t>
      </w:r>
      <w:r w:rsidRPr="00233B69">
        <w:rPr>
          <w:rFonts w:eastAsia="Times New Roman" w:cs="Times New Roman"/>
          <w:b/>
          <w:bCs/>
          <w:szCs w:val="24"/>
          <w:lang w:eastAsia="pl-PL"/>
        </w:rPr>
        <w:t xml:space="preserve"> </w:t>
      </w:r>
      <w:r w:rsidRPr="00233B69">
        <w:rPr>
          <w:rFonts w:eastAsia="Times New Roman" w:cs="Times New Roman"/>
          <w:szCs w:val="24"/>
          <w:lang w:eastAsia="pl-PL"/>
        </w:rPr>
        <w:t xml:space="preserve">Szczegółowe informacje o nieruchomości można uzyskać w Urzędzie Miasta i Gminy </w:t>
      </w:r>
    </w:p>
    <w:p w14:paraId="6E6F6E58" w14:textId="77777777" w:rsidR="00233B69" w:rsidRPr="00233B69" w:rsidRDefault="00233B69" w:rsidP="00233B69">
      <w:pPr>
        <w:overflowPunct w:val="0"/>
        <w:autoSpaceDE w:val="0"/>
        <w:autoSpaceDN w:val="0"/>
        <w:adjustRightInd w:val="0"/>
        <w:spacing w:after="0" w:line="240" w:lineRule="auto"/>
        <w:jc w:val="both"/>
        <w:rPr>
          <w:rFonts w:eastAsia="Times New Roman" w:cs="Times New Roman"/>
          <w:szCs w:val="24"/>
          <w:lang w:eastAsia="pl-PL"/>
        </w:rPr>
      </w:pPr>
      <w:r w:rsidRPr="00233B69">
        <w:rPr>
          <w:rFonts w:eastAsia="Times New Roman" w:cs="Times New Roman"/>
          <w:szCs w:val="24"/>
          <w:lang w:eastAsia="pl-PL"/>
        </w:rPr>
        <w:t>w Górze (pokój 108) lub pod nr tel. (65) 544 36 31.</w:t>
      </w:r>
    </w:p>
    <w:p w14:paraId="43E909D9" w14:textId="77777777" w:rsidR="00233B69" w:rsidRPr="00233B69" w:rsidRDefault="00233B69" w:rsidP="00233B69">
      <w:pPr>
        <w:overflowPunct w:val="0"/>
        <w:autoSpaceDE w:val="0"/>
        <w:autoSpaceDN w:val="0"/>
        <w:adjustRightInd w:val="0"/>
        <w:spacing w:after="0" w:line="240" w:lineRule="auto"/>
        <w:rPr>
          <w:rFonts w:eastAsia="Times New Roman" w:cs="Times New Roman"/>
          <w:szCs w:val="24"/>
          <w:lang w:eastAsia="pl-PL"/>
        </w:rPr>
      </w:pPr>
    </w:p>
    <w:p w14:paraId="5E2BA89D" w14:textId="77777777" w:rsidR="00233B69" w:rsidRPr="00233B69" w:rsidRDefault="00233B69" w:rsidP="00233B69">
      <w:pPr>
        <w:spacing w:after="0" w:line="240" w:lineRule="auto"/>
        <w:rPr>
          <w:rFonts w:eastAsia="Times New Roman" w:cs="Times New Roman"/>
          <w:b/>
          <w:szCs w:val="24"/>
          <w:lang w:eastAsia="pl-PL"/>
        </w:rPr>
      </w:pPr>
    </w:p>
    <w:p w14:paraId="4BF0869F" w14:textId="77777777" w:rsidR="00233B69" w:rsidRPr="00233B69" w:rsidRDefault="00233B69" w:rsidP="00233B69">
      <w:pPr>
        <w:spacing w:after="0" w:line="240" w:lineRule="auto"/>
        <w:rPr>
          <w:rFonts w:eastAsia="Times New Roman" w:cs="Times New Roman"/>
          <w:b/>
          <w:szCs w:val="24"/>
          <w:lang w:eastAsia="pl-PL"/>
        </w:rPr>
      </w:pPr>
    </w:p>
    <w:p w14:paraId="656957B4" w14:textId="77777777" w:rsidR="00233B69" w:rsidRPr="00233B69" w:rsidRDefault="00233B69" w:rsidP="00233B69">
      <w:pPr>
        <w:spacing w:after="0" w:line="240" w:lineRule="auto"/>
        <w:rPr>
          <w:rFonts w:eastAsia="Times New Roman" w:cs="Times New Roman"/>
          <w:b/>
          <w:szCs w:val="24"/>
          <w:lang w:eastAsia="pl-PL"/>
        </w:rPr>
      </w:pPr>
    </w:p>
    <w:p w14:paraId="15567B58" w14:textId="77777777" w:rsidR="00233B69" w:rsidRPr="00233B69" w:rsidRDefault="00233B69" w:rsidP="00233B69">
      <w:pPr>
        <w:spacing w:after="0" w:line="240" w:lineRule="auto"/>
        <w:rPr>
          <w:rFonts w:eastAsia="Times New Roman" w:cs="Times New Roman"/>
          <w:b/>
          <w:szCs w:val="24"/>
          <w:lang w:eastAsia="pl-PL"/>
        </w:rPr>
      </w:pPr>
    </w:p>
    <w:p w14:paraId="31C6A879" w14:textId="77777777" w:rsidR="00233B69" w:rsidRPr="00233B69" w:rsidRDefault="00233B69" w:rsidP="00233B69">
      <w:pPr>
        <w:spacing w:after="0" w:line="240" w:lineRule="auto"/>
        <w:rPr>
          <w:rFonts w:eastAsia="Times New Roman" w:cs="Times New Roman"/>
          <w:b/>
          <w:szCs w:val="24"/>
          <w:lang w:eastAsia="pl-PL"/>
        </w:rPr>
      </w:pPr>
    </w:p>
    <w:p w14:paraId="2D3A0B11" w14:textId="77777777" w:rsidR="00233B69" w:rsidRPr="00233B69" w:rsidRDefault="00233B69" w:rsidP="00233B69">
      <w:pPr>
        <w:spacing w:after="0" w:line="240" w:lineRule="auto"/>
        <w:rPr>
          <w:rFonts w:eastAsia="Times New Roman" w:cs="Times New Roman"/>
          <w:b/>
          <w:szCs w:val="24"/>
          <w:lang w:eastAsia="pl-PL"/>
        </w:rPr>
      </w:pPr>
    </w:p>
    <w:p w14:paraId="26C74E3D" w14:textId="77777777" w:rsidR="00233B69" w:rsidRPr="00233B69" w:rsidRDefault="00233B69" w:rsidP="00233B69">
      <w:pPr>
        <w:spacing w:after="0" w:line="240" w:lineRule="auto"/>
        <w:rPr>
          <w:rFonts w:eastAsia="Times New Roman" w:cs="Times New Roman"/>
          <w:b/>
          <w:szCs w:val="24"/>
          <w:lang w:eastAsia="pl-PL"/>
        </w:rPr>
      </w:pPr>
    </w:p>
    <w:p w14:paraId="47114371" w14:textId="77777777" w:rsidR="00233B69" w:rsidRPr="00233B69" w:rsidRDefault="00233B69" w:rsidP="00233B69">
      <w:pPr>
        <w:spacing w:after="0" w:line="240" w:lineRule="auto"/>
        <w:rPr>
          <w:rFonts w:eastAsia="Times New Roman" w:cs="Times New Roman"/>
          <w:b/>
          <w:szCs w:val="24"/>
          <w:lang w:eastAsia="pl-PL"/>
        </w:rPr>
      </w:pPr>
    </w:p>
    <w:p w14:paraId="7C551240" w14:textId="77777777" w:rsidR="00233B69" w:rsidRPr="00233B69" w:rsidRDefault="00233B69" w:rsidP="00233B69">
      <w:pPr>
        <w:spacing w:after="0" w:line="240" w:lineRule="auto"/>
        <w:rPr>
          <w:rFonts w:eastAsia="Times New Roman" w:cs="Times New Roman"/>
          <w:b/>
          <w:szCs w:val="24"/>
          <w:lang w:eastAsia="pl-PL"/>
        </w:rPr>
      </w:pPr>
    </w:p>
    <w:p w14:paraId="66AA1709" w14:textId="77777777" w:rsidR="00233B69" w:rsidRPr="00233B69" w:rsidRDefault="00233B69" w:rsidP="00233B69">
      <w:pPr>
        <w:spacing w:after="0" w:line="240" w:lineRule="auto"/>
        <w:rPr>
          <w:rFonts w:eastAsia="Times New Roman" w:cs="Times New Roman"/>
          <w:b/>
          <w:szCs w:val="24"/>
          <w:lang w:eastAsia="pl-PL"/>
        </w:rPr>
      </w:pPr>
    </w:p>
    <w:p w14:paraId="2642A2CA" w14:textId="77777777" w:rsidR="00233B69" w:rsidRPr="00233B69" w:rsidRDefault="00233B69" w:rsidP="00233B69">
      <w:pPr>
        <w:spacing w:after="0" w:line="240" w:lineRule="auto"/>
        <w:rPr>
          <w:rFonts w:eastAsia="Times New Roman" w:cs="Times New Roman"/>
          <w:b/>
          <w:szCs w:val="24"/>
          <w:lang w:eastAsia="pl-PL"/>
        </w:rPr>
      </w:pPr>
    </w:p>
    <w:p w14:paraId="656BF626" w14:textId="77777777" w:rsidR="00233B69" w:rsidRPr="00233B69" w:rsidRDefault="00233B69" w:rsidP="00233B69">
      <w:pPr>
        <w:spacing w:after="0" w:line="240" w:lineRule="auto"/>
        <w:rPr>
          <w:rFonts w:eastAsia="Times New Roman" w:cs="Times New Roman"/>
          <w:b/>
          <w:szCs w:val="24"/>
          <w:lang w:eastAsia="pl-PL"/>
        </w:rPr>
      </w:pPr>
    </w:p>
    <w:p w14:paraId="79CEF6AE" w14:textId="77777777" w:rsidR="00233B69" w:rsidRPr="00233B69" w:rsidRDefault="00233B69" w:rsidP="00233B69">
      <w:pPr>
        <w:spacing w:after="0" w:line="240" w:lineRule="auto"/>
        <w:rPr>
          <w:rFonts w:eastAsia="Times New Roman" w:cs="Times New Roman"/>
          <w:b/>
          <w:szCs w:val="24"/>
          <w:lang w:eastAsia="pl-PL"/>
        </w:rPr>
      </w:pPr>
    </w:p>
    <w:p w14:paraId="568654D8" w14:textId="77777777" w:rsidR="00697D0F" w:rsidRDefault="00697D0F"/>
    <w:sectPr w:rsidR="00697D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Black">
    <w:panose1 w:val="020B0A04020102020204"/>
    <w:charset w:val="EE"/>
    <w:family w:val="swiss"/>
    <w:pitch w:val="variable"/>
    <w:sig w:usb0="A00002AF" w:usb1="400078FB"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21E3F"/>
    <w:multiLevelType w:val="hybridMultilevel"/>
    <w:tmpl w:val="163A16C8"/>
    <w:lvl w:ilvl="0" w:tplc="974CD9D0">
      <w:start w:val="59"/>
      <w:numFmt w:val="bullet"/>
      <w:lvlText w:val="-"/>
      <w:lvlJc w:val="left"/>
      <w:pPr>
        <w:tabs>
          <w:tab w:val="num" w:pos="720"/>
        </w:tabs>
        <w:ind w:left="720" w:hanging="360"/>
      </w:pPr>
      <w:rPr>
        <w:rFonts w:ascii="Times New Roman" w:eastAsia="Times New Roman" w:hAnsi="Times New Roman" w:cs="Times New Roman" w:hint="default"/>
      </w:rPr>
    </w:lvl>
    <w:lvl w:ilvl="1" w:tplc="0415000F">
      <w:start w:val="1"/>
      <w:numFmt w:val="decimal"/>
      <w:lvlText w:val="%2."/>
      <w:lvlJc w:val="left"/>
      <w:pPr>
        <w:tabs>
          <w:tab w:val="num" w:pos="1440"/>
        </w:tabs>
        <w:ind w:left="1440" w:hanging="360"/>
      </w:pPr>
    </w:lvl>
    <w:lvl w:ilvl="2" w:tplc="507E56F4">
      <w:start w:val="2"/>
      <w:numFmt w:val="lowerLetter"/>
      <w:lvlText w:val="%3)"/>
      <w:lvlJc w:val="left"/>
      <w:pPr>
        <w:tabs>
          <w:tab w:val="num" w:pos="2160"/>
        </w:tabs>
        <w:ind w:left="2160" w:hanging="360"/>
      </w:pPr>
      <w:rPr>
        <w:rFont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16cid:durableId="333068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737"/>
    <w:rsid w:val="000C2CC6"/>
    <w:rsid w:val="000D72C6"/>
    <w:rsid w:val="00233B69"/>
    <w:rsid w:val="00301FA4"/>
    <w:rsid w:val="00341780"/>
    <w:rsid w:val="00474874"/>
    <w:rsid w:val="0048641B"/>
    <w:rsid w:val="004928C5"/>
    <w:rsid w:val="004A4894"/>
    <w:rsid w:val="00562978"/>
    <w:rsid w:val="005B52E3"/>
    <w:rsid w:val="00697D0F"/>
    <w:rsid w:val="00707737"/>
    <w:rsid w:val="007D472B"/>
    <w:rsid w:val="00832067"/>
    <w:rsid w:val="00851F12"/>
    <w:rsid w:val="00EB3F34"/>
    <w:rsid w:val="00F312B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42DFC"/>
  <w15:chartTrackingRefBased/>
  <w15:docId w15:val="{9553E177-29A9-4FC0-B8B6-C013DC55C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32067"/>
    <w:rPr>
      <w:rFonts w:ascii="Times New Roman" w:hAnsi="Times New Roman"/>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dresnakopercie">
    <w:name w:val="envelope address"/>
    <w:basedOn w:val="Normalny"/>
    <w:uiPriority w:val="99"/>
    <w:semiHidden/>
    <w:unhideWhenUsed/>
    <w:rsid w:val="00474874"/>
    <w:pPr>
      <w:framePr w:w="7920" w:h="1980" w:hRule="exact" w:hSpace="141" w:wrap="auto" w:hAnchor="page" w:xAlign="center" w:yAlign="bottom"/>
      <w:spacing w:after="0" w:line="240" w:lineRule="auto"/>
      <w:ind w:left="2880"/>
    </w:pPr>
    <w:rPr>
      <w:rFonts w:eastAsiaTheme="majorEastAsia" w:cstheme="majorBidi"/>
      <w:szCs w:val="24"/>
    </w:rPr>
  </w:style>
  <w:style w:type="paragraph" w:styleId="Adreszwrotnynakopercie">
    <w:name w:val="envelope return"/>
    <w:basedOn w:val="Normalny"/>
    <w:uiPriority w:val="99"/>
    <w:semiHidden/>
    <w:unhideWhenUsed/>
    <w:rsid w:val="004A4894"/>
    <w:pPr>
      <w:spacing w:after="0" w:line="240" w:lineRule="auto"/>
    </w:pPr>
    <w:rPr>
      <w:rFonts w:eastAsiaTheme="majorEastAsia"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532</Words>
  <Characters>3192</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komputer</dc:creator>
  <cp:keywords/>
  <dc:description/>
  <cp:lastModifiedBy>komputer</cp:lastModifiedBy>
  <cp:revision>2</cp:revision>
  <dcterms:created xsi:type="dcterms:W3CDTF">2024-10-21T11:44:00Z</dcterms:created>
  <dcterms:modified xsi:type="dcterms:W3CDTF">2024-10-21T11:45:00Z</dcterms:modified>
</cp:coreProperties>
</file>