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7E6E" w14:textId="77777777" w:rsidR="007E5368" w:rsidRDefault="007E5368" w:rsidP="007E5368">
      <w:pPr>
        <w:pStyle w:val="Bezodstpw"/>
        <w:rPr>
          <w:rFonts w:ascii="Arial Black" w:hAnsi="Arial Black"/>
        </w:rPr>
      </w:pPr>
      <w:r>
        <w:rPr>
          <w:rFonts w:ascii="Arial Black" w:hAnsi="Arial Black"/>
        </w:rPr>
        <w:t>BURMISTRZ GÓRY</w:t>
      </w:r>
    </w:p>
    <w:p w14:paraId="6EBD3187" w14:textId="77777777" w:rsidR="007E5368" w:rsidRDefault="007E5368" w:rsidP="007E5368">
      <w:pPr>
        <w:pStyle w:val="Bezodstpw"/>
        <w:rPr>
          <w:rFonts w:ascii="Arial Black" w:hAnsi="Arial Black"/>
        </w:rPr>
      </w:pPr>
      <w:r>
        <w:rPr>
          <w:rFonts w:ascii="Arial Black" w:hAnsi="Arial Black"/>
          <w:sz w:val="18"/>
        </w:rPr>
        <w:t>ul. Adama Mickiewicza 1</w:t>
      </w:r>
    </w:p>
    <w:p w14:paraId="6B21F3B6" w14:textId="77777777" w:rsidR="007E5368" w:rsidRDefault="007E5368" w:rsidP="007E5368">
      <w:pPr>
        <w:pStyle w:val="Bezodstpw"/>
        <w:rPr>
          <w:rFonts w:ascii="Arial Black" w:hAnsi="Arial Black"/>
          <w:sz w:val="18"/>
        </w:rPr>
      </w:pPr>
      <w:r>
        <w:rPr>
          <w:rFonts w:ascii="Arial Black" w:hAnsi="Arial Black"/>
          <w:sz w:val="18"/>
        </w:rPr>
        <w:t xml:space="preserve">         56-200 Góra</w:t>
      </w:r>
    </w:p>
    <w:p w14:paraId="108F8E12" w14:textId="77777777" w:rsidR="007E5368" w:rsidRDefault="007E5368" w:rsidP="007E5368">
      <w:pPr>
        <w:pStyle w:val="Tekstpodstawowywcity"/>
        <w:ind w:left="0"/>
        <w:jc w:val="right"/>
        <w:rPr>
          <w:rFonts w:ascii="Times New Roman" w:hAnsi="Times New Roman"/>
        </w:rPr>
      </w:pPr>
      <w:r>
        <w:rPr>
          <w:rFonts w:ascii="Arial Black" w:hAnsi="Arial Black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Góra, dnia 22 sierpnia 2024 r.</w:t>
      </w:r>
    </w:p>
    <w:p w14:paraId="6E4A133D" w14:textId="77777777" w:rsidR="007E5368" w:rsidRDefault="007E5368" w:rsidP="007E5368">
      <w:pPr>
        <w:pStyle w:val="Tekstpodstawowywcity"/>
        <w:ind w:left="0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>GN.6840.40.2023</w:t>
      </w:r>
    </w:p>
    <w:p w14:paraId="2AD10F09" w14:textId="77777777" w:rsidR="007E5368" w:rsidRDefault="007E5368" w:rsidP="007E5368">
      <w:pPr>
        <w:pStyle w:val="Tekstpodstawowywcity"/>
        <w:ind w:left="0"/>
        <w:rPr>
          <w:rFonts w:ascii="Times New Roman" w:hAnsi="Times New Roman"/>
          <w:sz w:val="26"/>
        </w:rPr>
      </w:pPr>
    </w:p>
    <w:p w14:paraId="313A9A1F" w14:textId="77777777" w:rsidR="007E5368" w:rsidRDefault="007E5368" w:rsidP="007E5368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3037668A" w14:textId="77777777" w:rsidR="007E5368" w:rsidRDefault="007E5368" w:rsidP="007E5368">
      <w:pPr>
        <w:pStyle w:val="Tekstpodstawowywcity"/>
        <w:ind w:left="0"/>
        <w:rPr>
          <w:rFonts w:ascii="Times New Roman" w:hAnsi="Times New Roman"/>
        </w:rPr>
      </w:pPr>
    </w:p>
    <w:p w14:paraId="5865765A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 r. o gospodarce nieruchomościami (Dz. U. z 2024 r. poz. 1145)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</w:rPr>
        <w:t xml:space="preserve">podaje </w:t>
      </w:r>
      <w:r>
        <w:rPr>
          <w:rFonts w:ascii="Times New Roman" w:hAnsi="Times New Roman"/>
          <w:b/>
          <w:bCs/>
        </w:rPr>
        <w:br/>
        <w:t xml:space="preserve">do publicznej wiadomości wykaz ½ udziału w nieruchomości przeznaczonej do zbycia </w:t>
      </w:r>
      <w:r>
        <w:rPr>
          <w:rFonts w:ascii="Times New Roman" w:hAnsi="Times New Roman"/>
          <w:b/>
          <w:bCs/>
        </w:rPr>
        <w:br/>
        <w:t>na własność w drodze przetargu ustnego nieograniczonego.</w:t>
      </w:r>
    </w:p>
    <w:p w14:paraId="477A39B4" w14:textId="77777777" w:rsidR="007E5368" w:rsidRDefault="007E5368" w:rsidP="007E5368">
      <w:pPr>
        <w:pStyle w:val="Tekstpodstawowywcity"/>
        <w:ind w:left="0"/>
        <w:rPr>
          <w:rFonts w:ascii="Times New Roman" w:hAnsi="Times New Roman"/>
        </w:rPr>
      </w:pPr>
    </w:p>
    <w:p w14:paraId="37049485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</w:p>
    <w:p w14:paraId="45C27BE5" w14:textId="05C3B186" w:rsidR="007E5368" w:rsidRDefault="007E5368" w:rsidP="007E5368">
      <w:pPr>
        <w:pStyle w:val="Tekstpodstawowywcity"/>
        <w:ind w:left="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A6E19E" wp14:editId="03EBBD24">
                <wp:simplePos x="0" y="0"/>
                <wp:positionH relativeFrom="column">
                  <wp:posOffset>4243705</wp:posOffset>
                </wp:positionH>
                <wp:positionV relativeFrom="paragraph">
                  <wp:posOffset>267970</wp:posOffset>
                </wp:positionV>
                <wp:extent cx="2277110" cy="2332990"/>
                <wp:effectExtent l="5080" t="10795" r="13335" b="889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10" cy="2332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2FAA6" w14:textId="6AAEE356" w:rsidR="007E5368" w:rsidRDefault="007E5368" w:rsidP="007E5368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A2A3A80" wp14:editId="7082F2F0">
                                  <wp:extent cx="2085975" cy="222885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7124" t="23222" r="29233" b="174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85975" cy="222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A6E19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34.15pt;margin-top:21.1pt;width:179.3pt;height:183.7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">
                <v:textbox style="mso-fit-shape-to-text:t">
                  <w:txbxContent>
                    <w:p w14:paraId="1112FAA6" w14:textId="6AAEE356" w:rsidR="007E5368" w:rsidRDefault="007E5368" w:rsidP="007E5368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A2A3A80" wp14:editId="7082F2F0">
                            <wp:extent cx="2085975" cy="222885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7124" t="23222" r="29233" b="174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85975" cy="222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</w:rPr>
        <w:t xml:space="preserve">1. </w:t>
      </w:r>
      <w:r>
        <w:rPr>
          <w:rFonts w:ascii="Times New Roman" w:hAnsi="Times New Roman"/>
          <w:b/>
          <w:bCs/>
          <w:u w:val="single"/>
        </w:rPr>
        <w:t xml:space="preserve">Udział ½ w nieruchomości rolnej niezabudowanej </w:t>
      </w:r>
      <w:r>
        <w:rPr>
          <w:rFonts w:ascii="Times New Roman" w:hAnsi="Times New Roman"/>
        </w:rPr>
        <w:t>położonej w obrębie miejscowości Czernina Górna,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oznaczonej w ewidencji gruntów jako działka nr:</w:t>
      </w:r>
      <w:r>
        <w:t xml:space="preserve"> </w:t>
      </w:r>
      <w:r>
        <w:tab/>
      </w:r>
      <w:r>
        <w:tab/>
      </w:r>
      <w:r>
        <w:tab/>
      </w:r>
    </w:p>
    <w:p w14:paraId="5117E844" w14:textId="77777777" w:rsidR="007E5368" w:rsidRDefault="007E5368" w:rsidP="007E5368">
      <w:pPr>
        <w:pStyle w:val="Tekstpodstawowywcity"/>
        <w:numPr>
          <w:ilvl w:val="0"/>
          <w:numId w:val="1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164/4 o powierzchni całkowitej 0,7070 ha; </w:t>
      </w:r>
    </w:p>
    <w:p w14:paraId="1D365E02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sklasyfikowanej jako </w:t>
      </w:r>
      <w:proofErr w:type="spellStart"/>
      <w:r>
        <w:rPr>
          <w:rFonts w:ascii="Times New Roman" w:hAnsi="Times New Roman"/>
          <w:b/>
          <w:bCs/>
        </w:rPr>
        <w:t>RIVb</w:t>
      </w:r>
      <w:proofErr w:type="spellEnd"/>
      <w:r>
        <w:rPr>
          <w:rFonts w:ascii="Times New Roman" w:hAnsi="Times New Roman"/>
          <w:b/>
          <w:bCs/>
        </w:rPr>
        <w:t xml:space="preserve"> (0,2873 ha), RV (0,2055 ha) oraz</w:t>
      </w:r>
    </w:p>
    <w:p w14:paraId="49C13C61" w14:textId="77777777" w:rsidR="007E5368" w:rsidRDefault="007E5368" w:rsidP="007E5368">
      <w:pPr>
        <w:pStyle w:val="Tekstpodstawowywcity"/>
        <w:ind w:left="0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b/>
          <w:bCs/>
        </w:rPr>
        <w:t>PsIV</w:t>
      </w:r>
      <w:proofErr w:type="spellEnd"/>
      <w:r>
        <w:rPr>
          <w:rFonts w:ascii="Times New Roman" w:hAnsi="Times New Roman"/>
          <w:b/>
          <w:bCs/>
        </w:rPr>
        <w:t xml:space="preserve"> (0,2142 ha), </w:t>
      </w:r>
      <w:r>
        <w:rPr>
          <w:rFonts w:ascii="Times New Roman" w:hAnsi="Times New Roman"/>
        </w:rPr>
        <w:t xml:space="preserve">dla której Sąd Rejonowy w Głogowie prowadzi </w:t>
      </w:r>
    </w:p>
    <w:p w14:paraId="15364449" w14:textId="77777777" w:rsidR="007E5368" w:rsidRDefault="007E5368" w:rsidP="007E5368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księgę wieczystą nr LE1G/00090783/0.</w:t>
      </w:r>
    </w:p>
    <w:p w14:paraId="5DE65F56" w14:textId="77777777" w:rsidR="007E5368" w:rsidRDefault="007E5368" w:rsidP="007E5368">
      <w:pPr>
        <w:pStyle w:val="Tekstpodstawowywcity"/>
        <w:ind w:left="0"/>
      </w:pPr>
      <w:r>
        <w:rPr>
          <w:rFonts w:ascii="Times New Roman" w:hAnsi="Times New Roman"/>
        </w:rPr>
        <w:t>Działka wolna jest od ciężarów, ograniczeń i hipotek.</w:t>
      </w:r>
      <w:r>
        <w:t xml:space="preserve"> </w:t>
      </w:r>
    </w:p>
    <w:p w14:paraId="69E456A2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</w:p>
    <w:p w14:paraId="77DC705F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Planie Zagospodarowania Przestrzennego dla Gminy Góry</w:t>
      </w:r>
    </w:p>
    <w:p w14:paraId="5ECFDF73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nieruchomość znajduje się w jednostce bilansowej </w:t>
      </w:r>
      <w:r>
        <w:rPr>
          <w:rFonts w:ascii="Times New Roman" w:hAnsi="Times New Roman"/>
          <w:b/>
          <w:bCs/>
        </w:rPr>
        <w:t>2R</w:t>
      </w:r>
      <w:r>
        <w:rPr>
          <w:rFonts w:ascii="Times New Roman" w:hAnsi="Times New Roman"/>
        </w:rPr>
        <w:t xml:space="preserve">, dla której </w:t>
      </w:r>
    </w:p>
    <w:p w14:paraId="67BC3131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ustala się przeznaczenie na tereny rolnicze. </w:t>
      </w:r>
    </w:p>
    <w:p w14:paraId="39B80CA7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u w:val="single"/>
        </w:rPr>
      </w:pPr>
    </w:p>
    <w:p w14:paraId="64CA3310" w14:textId="77777777" w:rsidR="007E5368" w:rsidRDefault="007E5368" w:rsidP="007E5368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Działka posiada dostęp do drogi. Działka nie jest zagospodarowana.</w:t>
      </w:r>
      <w:r>
        <w:rPr>
          <w:rFonts w:ascii="Times New Roman" w:hAnsi="Times New Roman"/>
        </w:rPr>
        <w:br/>
        <w:t xml:space="preserve"> </w:t>
      </w:r>
    </w:p>
    <w:p w14:paraId="3C15E932" w14:textId="77777777" w:rsidR="007E5368" w:rsidRDefault="007E5368" w:rsidP="007E5368">
      <w:pPr>
        <w:pStyle w:val="Tekstpodstawowywcity"/>
        <w:ind w:left="0"/>
        <w:rPr>
          <w:color w:val="FF0000"/>
          <w:u w:val="single"/>
        </w:rPr>
      </w:pPr>
      <w:r>
        <w:rPr>
          <w:rFonts w:ascii="Times New Roman" w:hAnsi="Times New Roman"/>
          <w:color w:val="FF0000"/>
        </w:rPr>
        <w:t xml:space="preserve">                    </w:t>
      </w:r>
    </w:p>
    <w:p w14:paraId="2F9FEAB9" w14:textId="77777777" w:rsidR="007E5368" w:rsidRDefault="007E5368" w:rsidP="007E5368">
      <w:pPr>
        <w:jc w:val="both"/>
        <w:rPr>
          <w:sz w:val="20"/>
          <w:szCs w:val="20"/>
        </w:rPr>
      </w:pPr>
      <w:r>
        <w:rPr>
          <w:u w:val="single"/>
        </w:rPr>
        <w:t xml:space="preserve">2. </w:t>
      </w:r>
      <w:r>
        <w:rPr>
          <w:b/>
          <w:bCs/>
          <w:u w:val="single"/>
        </w:rPr>
        <w:t>Cena wywoławcza nieruchomości ustalona została  na kwotę  20.000,00</w:t>
      </w:r>
      <w:r>
        <w:rPr>
          <w:b/>
          <w:bCs/>
          <w:sz w:val="28"/>
          <w:u w:val="single"/>
        </w:rPr>
        <w:t xml:space="preserve"> zł</w:t>
      </w:r>
      <w:r>
        <w:rPr>
          <w:b/>
          <w:bCs/>
          <w:u w:val="single"/>
        </w:rPr>
        <w:t>,</w:t>
      </w: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br/>
      </w:r>
      <w:r>
        <w:rPr>
          <w:sz w:val="20"/>
          <w:szCs w:val="20"/>
        </w:rPr>
        <w:t xml:space="preserve">(tereny zwolnione są z podatku VAT na podstawie art. 43 ust. 1 pkt 9 ustawy z dnia 11 marca 2004 r. </w:t>
      </w:r>
      <w:r>
        <w:rPr>
          <w:sz w:val="20"/>
          <w:szCs w:val="20"/>
        </w:rPr>
        <w:br/>
        <w:t>o podatku od towarów i usług, zgodnie z którym: „zwalnia się od podatku dostawę terenów niezabudowanych innych niż tereny budowlane” (</w:t>
      </w:r>
      <w:r>
        <w:rPr>
          <w:sz w:val="18"/>
        </w:rPr>
        <w:t>Dz. U. z 2024 r. poz. 361)).</w:t>
      </w:r>
    </w:p>
    <w:p w14:paraId="24FC8098" w14:textId="77777777" w:rsidR="007E5368" w:rsidRDefault="007E5368" w:rsidP="007E5368"/>
    <w:p w14:paraId="05DE0257" w14:textId="77777777" w:rsidR="007E5368" w:rsidRDefault="007E5368" w:rsidP="007E5368">
      <w:pPr>
        <w:rPr>
          <w:b/>
          <w:bCs/>
        </w:rPr>
      </w:pPr>
      <w:r>
        <w:rPr>
          <w:b/>
          <w:bCs/>
        </w:rPr>
        <w:t xml:space="preserve">3. ½ udziału w nieruchomości nr 164/4 przeznacza się do zbycia na własność. </w:t>
      </w:r>
      <w:r>
        <w:rPr>
          <w:b/>
          <w:bCs/>
        </w:rPr>
        <w:br/>
        <w:t>Pozostała ½ udziału w działce stanowi własność osoby fizycznej.</w:t>
      </w:r>
    </w:p>
    <w:p w14:paraId="310C8325" w14:textId="77777777" w:rsidR="007E5368" w:rsidRDefault="007E5368" w:rsidP="007E5368"/>
    <w:p w14:paraId="480FFD7B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t xml:space="preserve">4. </w:t>
      </w:r>
      <w:r>
        <w:rPr>
          <w:rFonts w:ascii="Times New Roman" w:hAnsi="Times New Roman"/>
          <w:sz w:val="22"/>
          <w:szCs w:val="22"/>
          <w:u w:val="single"/>
        </w:rPr>
        <w:t xml:space="preserve">W przypadku sprzedaży nieruchomości rolnej - Krajowemu Ośrodkowi Wsparcia Rolnictwa przysługuje prawo pierwokupu tej nieruchomości </w:t>
      </w:r>
      <w:r>
        <w:rPr>
          <w:rFonts w:ascii="Times New Roman" w:hAnsi="Times New Roman"/>
          <w:sz w:val="22"/>
          <w:szCs w:val="22"/>
        </w:rPr>
        <w:t xml:space="preserve">(wówczas strony transakcji zawierają warunkową umowę sprzedaży). </w:t>
      </w:r>
    </w:p>
    <w:p w14:paraId="287C25C3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Prawo pierwokupu nieruchomości rolnej KOWR może wykonać w ciągu miesiąca od otrzymania zawiadomienia o treści zawartej warunkowej umowy sprzedaży. </w:t>
      </w:r>
    </w:p>
    <w:p w14:paraId="3DC167A8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Prawo nabycia nie przysługuje KOWR m.in. jeżeli nabycie nieruchomości rolnej następuje:</w:t>
      </w:r>
    </w:p>
    <w:p w14:paraId="3FB26C40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przez rolnika indywidualnego, w wyniku czego powiększa on gospodarstwo rodzinne, a nabywana nieruchomość położona jest w gminie, w której ma on miejsce zamieszkania, lub w gminie graniczącej z tą gminą,</w:t>
      </w:r>
    </w:p>
    <w:p w14:paraId="3AEFB362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 przez rolnika indywidualnego w wyniku zapisu windykacyjnego,</w:t>
      </w:r>
    </w:p>
    <w:p w14:paraId="18C1922B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 w wyniku dziedziczenia ustawowego albo dziedziczenia przez rolnika indywidualnego,</w:t>
      </w:r>
    </w:p>
    <w:p w14:paraId="55112DBF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 przez osobę bliską zbywcy,</w:t>
      </w:r>
    </w:p>
    <w:p w14:paraId="0F14E616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za zgodą Dyrektora Generalnego Krajowego Ośrodka Wsparcia Rolnictwa, wyrażoną w drodze decyzji administracyjnej, o której mowa w art. 2a ust. 4 ustawy o kształtowaniu ustroju rolnego</w:t>
      </w:r>
    </w:p>
    <w:p w14:paraId="2FCB8A79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- przez Spółkę Celową,</w:t>
      </w:r>
    </w:p>
    <w:p w14:paraId="2E8C0B71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przez spółdzielnię produkcji rolnej,</w:t>
      </w:r>
    </w:p>
    <w:p w14:paraId="4D9FAC77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przez członka spółdzielni produkcji rolnej,</w:t>
      </w:r>
    </w:p>
    <w:p w14:paraId="01A836D6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w wyniku wykonania umowy z następcą,</w:t>
      </w:r>
    </w:p>
    <w:p w14:paraId="2D4C6EE9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pomiędzy osobami prawnymi działającymi na podstawie przepisów o stosunku Państwa do Kościoła Katolickiego w Rzeczpospolitej Polskiej.</w:t>
      </w:r>
    </w:p>
    <w:p w14:paraId="684798D7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</w:p>
    <w:p w14:paraId="1DBF5E4A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</w:p>
    <w:p w14:paraId="51910783" w14:textId="5028D103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</w:rPr>
        <w:t>5.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ich spadkobiercami, jeżeli złożą wniosek o ich nabycie w terminie do dnia</w:t>
      </w:r>
      <w:r>
        <w:rPr>
          <w:rFonts w:ascii="Times New Roman" w:hAnsi="Times New Roman"/>
          <w:b/>
          <w:bCs/>
          <w:u w:val="single"/>
        </w:rPr>
        <w:t xml:space="preserve"> 11 października 2024 r.</w:t>
      </w:r>
    </w:p>
    <w:p w14:paraId="43DA0322" w14:textId="77777777" w:rsidR="007E5368" w:rsidRDefault="007E5368" w:rsidP="007E5368">
      <w:pPr>
        <w:pStyle w:val="Tekstpodstawowywcity"/>
        <w:ind w:left="0"/>
        <w:rPr>
          <w:rFonts w:ascii="Times New Roman" w:hAnsi="Times New Roman"/>
          <w:b/>
          <w:bCs/>
          <w:u w:val="single"/>
        </w:rPr>
      </w:pPr>
    </w:p>
    <w:p w14:paraId="1DB70153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Szczegółowe informacje o nieruchomości można uzyskać w Urzędzie Miasta i Gminy </w:t>
      </w:r>
    </w:p>
    <w:p w14:paraId="10BA9C0E" w14:textId="77777777" w:rsidR="007E5368" w:rsidRDefault="007E5368" w:rsidP="007E5368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Górze (pokój 108) lub pod nr tel. (65) 544 36 31.</w:t>
      </w:r>
    </w:p>
    <w:p w14:paraId="620182D3" w14:textId="77777777" w:rsidR="007E5368" w:rsidRDefault="007E5368" w:rsidP="007E5368">
      <w:pPr>
        <w:pStyle w:val="Tekstpodstawowywcity"/>
        <w:ind w:left="0"/>
        <w:rPr>
          <w:rFonts w:ascii="Times New Roman" w:hAnsi="Times New Roman"/>
        </w:rPr>
      </w:pPr>
    </w:p>
    <w:p w14:paraId="6F04CC44" w14:textId="77777777" w:rsidR="007E5368" w:rsidRDefault="007E5368" w:rsidP="007E5368">
      <w:pPr>
        <w:rPr>
          <w:b/>
        </w:rPr>
      </w:pPr>
    </w:p>
    <w:p w14:paraId="261D30F6" w14:textId="77777777" w:rsidR="007E5368" w:rsidRDefault="007E5368" w:rsidP="007E5368">
      <w:pPr>
        <w:rPr>
          <w:b/>
        </w:rPr>
      </w:pPr>
    </w:p>
    <w:p w14:paraId="48EC0257" w14:textId="77777777" w:rsidR="007E5368" w:rsidRDefault="007E5368" w:rsidP="007E5368">
      <w:pPr>
        <w:rPr>
          <w:b/>
        </w:rPr>
      </w:pPr>
    </w:p>
    <w:p w14:paraId="2122AD8E" w14:textId="77777777" w:rsidR="007E5368" w:rsidRDefault="007E5368" w:rsidP="007E5368">
      <w:pPr>
        <w:rPr>
          <w:b/>
        </w:rPr>
      </w:pPr>
    </w:p>
    <w:p w14:paraId="4A68F448" w14:textId="77777777" w:rsidR="007E5368" w:rsidRDefault="007E5368" w:rsidP="007E5368">
      <w:pPr>
        <w:rPr>
          <w:b/>
        </w:rPr>
      </w:pPr>
    </w:p>
    <w:p w14:paraId="377043E0" w14:textId="77777777" w:rsidR="007E5368" w:rsidRDefault="007E5368" w:rsidP="007E5368">
      <w:pPr>
        <w:rPr>
          <w:b/>
        </w:rPr>
      </w:pPr>
    </w:p>
    <w:p w14:paraId="68E8BA6B" w14:textId="77777777" w:rsidR="007E5368" w:rsidRDefault="007E5368" w:rsidP="007E5368">
      <w:pPr>
        <w:rPr>
          <w:b/>
        </w:rPr>
      </w:pPr>
    </w:p>
    <w:p w14:paraId="4344971A" w14:textId="77777777" w:rsidR="007E5368" w:rsidRDefault="007E5368" w:rsidP="007E5368">
      <w:pPr>
        <w:rPr>
          <w:b/>
        </w:rPr>
      </w:pPr>
    </w:p>
    <w:p w14:paraId="3965A06E" w14:textId="77777777" w:rsidR="007E5368" w:rsidRDefault="007E5368" w:rsidP="007E5368">
      <w:pPr>
        <w:rPr>
          <w:b/>
        </w:rPr>
      </w:pPr>
    </w:p>
    <w:p w14:paraId="0AC86997" w14:textId="77777777" w:rsidR="007E5368" w:rsidRDefault="007E5368" w:rsidP="007E5368">
      <w:pPr>
        <w:rPr>
          <w:b/>
        </w:rPr>
      </w:pPr>
    </w:p>
    <w:p w14:paraId="45878039" w14:textId="77777777" w:rsidR="007E5368" w:rsidRDefault="007E5368" w:rsidP="007E5368">
      <w:pPr>
        <w:rPr>
          <w:b/>
        </w:rPr>
      </w:pPr>
    </w:p>
    <w:p w14:paraId="7A4EF7A6" w14:textId="77777777" w:rsidR="007E5368" w:rsidRDefault="007E5368" w:rsidP="007E5368">
      <w:pPr>
        <w:rPr>
          <w:b/>
        </w:rPr>
      </w:pPr>
    </w:p>
    <w:p w14:paraId="427F9F8E" w14:textId="77777777" w:rsidR="007E5368" w:rsidRDefault="007E5368" w:rsidP="007E5368">
      <w:pPr>
        <w:rPr>
          <w:b/>
        </w:rPr>
      </w:pPr>
    </w:p>
    <w:p w14:paraId="3518D4FE" w14:textId="77777777" w:rsidR="007E5368" w:rsidRDefault="007E5368" w:rsidP="007E5368">
      <w:pPr>
        <w:rPr>
          <w:b/>
        </w:rPr>
      </w:pPr>
    </w:p>
    <w:p w14:paraId="14AFD5EA" w14:textId="77777777" w:rsidR="007E5368" w:rsidRDefault="007E5368" w:rsidP="007E5368">
      <w:pPr>
        <w:rPr>
          <w:b/>
        </w:rPr>
      </w:pPr>
    </w:p>
    <w:p w14:paraId="38AE29FB" w14:textId="77777777" w:rsidR="007E5368" w:rsidRDefault="007E5368" w:rsidP="007E5368">
      <w:pPr>
        <w:rPr>
          <w:b/>
        </w:rPr>
      </w:pPr>
    </w:p>
    <w:p w14:paraId="0C8D4FF6" w14:textId="77777777" w:rsidR="007E5368" w:rsidRDefault="007E5368" w:rsidP="007E5368">
      <w:pPr>
        <w:rPr>
          <w:b/>
        </w:rPr>
      </w:pPr>
    </w:p>
    <w:p w14:paraId="244158AD" w14:textId="77777777" w:rsidR="007E5368" w:rsidRDefault="007E5368" w:rsidP="007E5368">
      <w:pPr>
        <w:rPr>
          <w:b/>
        </w:rPr>
      </w:pPr>
    </w:p>
    <w:p w14:paraId="79F3A32F" w14:textId="77777777" w:rsidR="007E5368" w:rsidRDefault="007E5368" w:rsidP="007E5368">
      <w:pPr>
        <w:rPr>
          <w:b/>
        </w:rPr>
      </w:pPr>
    </w:p>
    <w:p w14:paraId="12C84713" w14:textId="77777777" w:rsidR="007E5368" w:rsidRDefault="007E5368" w:rsidP="007E5368">
      <w:pPr>
        <w:rPr>
          <w:b/>
        </w:rPr>
      </w:pPr>
    </w:p>
    <w:p w14:paraId="285B6744" w14:textId="77777777" w:rsidR="007E5368" w:rsidRDefault="007E5368" w:rsidP="007E5368">
      <w:pPr>
        <w:rPr>
          <w:b/>
        </w:rPr>
      </w:pPr>
    </w:p>
    <w:p w14:paraId="27B0D965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71330981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CAB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7E5368"/>
    <w:rsid w:val="00832067"/>
    <w:rsid w:val="00851F12"/>
    <w:rsid w:val="00903CAB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E384C"/>
  <w15:chartTrackingRefBased/>
  <w15:docId w15:val="{8064E778-1472-4D7F-8757-ECA4D0074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53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E5368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E5368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7E53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0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2024-08-26T09:13:00Z</dcterms:created>
  <dcterms:modified xsi:type="dcterms:W3CDTF">2024-08-26T09:14:00Z</dcterms:modified>
</cp:coreProperties>
</file>