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75CA2" w14:textId="77777777" w:rsidR="001A4EC1" w:rsidRPr="001A4EC1" w:rsidRDefault="001A4EC1" w:rsidP="001A4EC1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1A4EC1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3AE98D97" w14:textId="77777777" w:rsidR="001A4EC1" w:rsidRPr="001A4EC1" w:rsidRDefault="001A4EC1" w:rsidP="001A4EC1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1A4EC1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2CE9B26C" w14:textId="77777777" w:rsidR="001A4EC1" w:rsidRPr="001A4EC1" w:rsidRDefault="001A4EC1" w:rsidP="001A4EC1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1A4EC1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1C6EA789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1A4EC1">
        <w:rPr>
          <w:rFonts w:ascii="Arial Black" w:eastAsia="Times New Roman" w:hAnsi="Arial Black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</w:r>
      <w:r w:rsidRPr="001A4EC1">
        <w:rPr>
          <w:rFonts w:eastAsia="Times New Roman" w:cs="Times New Roman"/>
          <w:szCs w:val="24"/>
          <w:lang w:eastAsia="pl-PL"/>
        </w:rPr>
        <w:tab/>
        <w:t xml:space="preserve">        Góra, dnia 14 listopada 2022 r.</w:t>
      </w:r>
    </w:p>
    <w:p w14:paraId="5C1E057D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1A4EC1">
        <w:rPr>
          <w:rFonts w:eastAsia="Times New Roman" w:cs="Times New Roman"/>
          <w:bCs/>
          <w:iCs/>
          <w:szCs w:val="24"/>
          <w:lang w:eastAsia="pl-PL"/>
        </w:rPr>
        <w:t>GN.6840.12.2021</w:t>
      </w:r>
    </w:p>
    <w:p w14:paraId="06C57AA2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60FE53BE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1A4EC1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17DF9763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7BF7200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1A4EC1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1A4EC1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1A4EC1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06855D52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559B4E2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D7D0E62" w14:textId="381A6D55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b/>
          <w:bCs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CE07A" wp14:editId="7CA3EF26">
                <wp:simplePos x="0" y="0"/>
                <wp:positionH relativeFrom="column">
                  <wp:posOffset>3900805</wp:posOffset>
                </wp:positionH>
                <wp:positionV relativeFrom="paragraph">
                  <wp:posOffset>239395</wp:posOffset>
                </wp:positionV>
                <wp:extent cx="2622550" cy="2635250"/>
                <wp:effectExtent l="9525" t="9525" r="6350" b="1270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0" cy="263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2D46D" w14:textId="12666989" w:rsidR="001A4EC1" w:rsidRDefault="001A4EC1" w:rsidP="001A4EC1">
                            <w:r w:rsidRPr="00F909BC">
                              <w:rPr>
                                <w:noProof/>
                              </w:rPr>
                              <w:drawing>
                                <wp:inline distT="0" distB="0" distL="0" distR="0" wp14:anchorId="6AFCA500" wp14:editId="6DEC041B">
                                  <wp:extent cx="2428875" cy="253365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8875" cy="2533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BCE07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7.15pt;margin-top:18.85pt;width:206.5pt;height:207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">
                <v:textbox style="mso-fit-shape-to-text:t">
                  <w:txbxContent>
                    <w:p w14:paraId="7952D46D" w14:textId="12666989" w:rsidR="001A4EC1" w:rsidRDefault="001A4EC1" w:rsidP="001A4EC1">
                      <w:r w:rsidRPr="00F909BC">
                        <w:rPr>
                          <w:noProof/>
                        </w:rPr>
                        <w:drawing>
                          <wp:inline distT="0" distB="0" distL="0" distR="0" wp14:anchorId="6AFCA500" wp14:editId="6DEC041B">
                            <wp:extent cx="2428875" cy="253365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8875" cy="2533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A4EC1">
        <w:rPr>
          <w:rFonts w:eastAsia="Times New Roman" w:cs="Times New Roman"/>
          <w:szCs w:val="24"/>
          <w:lang w:eastAsia="pl-PL"/>
        </w:rPr>
        <w:t xml:space="preserve">1. Nieruchomość rolna niezabudowana położona w obrębie miejscowości </w:t>
      </w:r>
      <w:r w:rsidRPr="001A4EC1">
        <w:rPr>
          <w:rFonts w:eastAsia="Times New Roman" w:cs="Times New Roman"/>
          <w:b/>
          <w:bCs/>
          <w:szCs w:val="24"/>
          <w:lang w:eastAsia="pl-PL"/>
        </w:rPr>
        <w:t>Ligota</w:t>
      </w:r>
      <w:r w:rsidRPr="001A4EC1">
        <w:rPr>
          <w:rFonts w:eastAsia="Times New Roman" w:cs="Times New Roman"/>
          <w:szCs w:val="24"/>
          <w:lang w:eastAsia="pl-PL"/>
        </w:rPr>
        <w:t>,</w:t>
      </w: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1A4EC1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ab/>
      </w:r>
    </w:p>
    <w:p w14:paraId="619D75A1" w14:textId="77777777" w:rsidR="001A4EC1" w:rsidRPr="001A4EC1" w:rsidRDefault="001A4EC1" w:rsidP="001A4EC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418/9 o powierzchni całkowitej 0,3441 ha; </w:t>
      </w:r>
    </w:p>
    <w:p w14:paraId="70B68BE2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Sklasyfikowana jako </w:t>
      </w:r>
      <w:proofErr w:type="spellStart"/>
      <w:r w:rsidRPr="001A4EC1">
        <w:rPr>
          <w:rFonts w:eastAsia="Times New Roman" w:cs="Times New Roman"/>
          <w:b/>
          <w:bCs/>
          <w:szCs w:val="24"/>
          <w:lang w:eastAsia="pl-PL"/>
        </w:rPr>
        <w:t>RIVa</w:t>
      </w:r>
      <w:proofErr w:type="spellEnd"/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, </w:t>
      </w:r>
      <w:r w:rsidRPr="001A4EC1">
        <w:rPr>
          <w:rFonts w:eastAsia="Times New Roman" w:cs="Times New Roman"/>
          <w:szCs w:val="24"/>
          <w:lang w:eastAsia="pl-PL"/>
        </w:rPr>
        <w:t xml:space="preserve">dla której Sąd Rejonowy </w:t>
      </w:r>
    </w:p>
    <w:p w14:paraId="26215A9C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w Głogowie prowadzi księgę wieczystą nr LE1G/00085694/1.</w:t>
      </w:r>
    </w:p>
    <w:p w14:paraId="689DCFBC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093760ED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C8E20B7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W Planie Zagospodarowania Przestrzennego dla Gminy Góra</w:t>
      </w:r>
    </w:p>
    <w:p w14:paraId="6389E44B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1A4EC1">
        <w:rPr>
          <w:rFonts w:eastAsia="Times New Roman" w:cs="Times New Roman"/>
          <w:b/>
          <w:bCs/>
          <w:szCs w:val="24"/>
          <w:lang w:eastAsia="pl-PL"/>
        </w:rPr>
        <w:t>RM/16</w:t>
      </w:r>
      <w:r w:rsidRPr="001A4EC1">
        <w:rPr>
          <w:rFonts w:eastAsia="Times New Roman" w:cs="Times New Roman"/>
          <w:szCs w:val="24"/>
          <w:lang w:eastAsia="pl-PL"/>
        </w:rPr>
        <w:t xml:space="preserve">, </w:t>
      </w:r>
    </w:p>
    <w:p w14:paraId="3C080CF4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1BE5C236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 xml:space="preserve">zagrodowej. </w:t>
      </w:r>
    </w:p>
    <w:p w14:paraId="585855BA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4FDD9EAE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 xml:space="preserve">Działka posiada dostęp do drogi. Dojazd do nieruchomości </w:t>
      </w:r>
      <w:r w:rsidRPr="001A4EC1">
        <w:rPr>
          <w:rFonts w:eastAsia="Times New Roman" w:cs="Times New Roman"/>
          <w:szCs w:val="24"/>
          <w:lang w:eastAsia="pl-PL"/>
        </w:rPr>
        <w:br/>
        <w:t xml:space="preserve">drogą asfaltową (starszego typu). Rejon lokalizacji </w:t>
      </w:r>
      <w:r w:rsidRPr="001A4EC1">
        <w:rPr>
          <w:rFonts w:eastAsia="Times New Roman" w:cs="Times New Roman"/>
          <w:szCs w:val="24"/>
          <w:lang w:eastAsia="pl-PL"/>
        </w:rPr>
        <w:br/>
        <w:t>nieruchomości nieuzbrojony.</w:t>
      </w:r>
      <w:r w:rsidRPr="001A4EC1">
        <w:rPr>
          <w:rFonts w:eastAsia="Times New Roman" w:cs="Times New Roman"/>
          <w:szCs w:val="24"/>
          <w:lang w:eastAsia="pl-PL"/>
        </w:rPr>
        <w:br/>
        <w:t xml:space="preserve">Nieruchomość częściowo porośnięta jest drzewami i krzakami. </w:t>
      </w:r>
    </w:p>
    <w:p w14:paraId="041D5873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u w:val="single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 xml:space="preserve">                    </w:t>
      </w:r>
    </w:p>
    <w:p w14:paraId="74D6E215" w14:textId="77777777" w:rsidR="001A4EC1" w:rsidRPr="001A4EC1" w:rsidRDefault="001A4EC1" w:rsidP="001A4EC1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1A4EC1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1A4EC1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77.640,00</w:t>
      </w:r>
      <w:r w:rsidRPr="001A4EC1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</w:t>
      </w:r>
      <w:r w:rsidRPr="001A4EC1">
        <w:rPr>
          <w:rFonts w:eastAsia="Times New Roman" w:cs="Times New Roman"/>
          <w:b/>
          <w:bCs/>
          <w:szCs w:val="24"/>
          <w:u w:val="single"/>
          <w:lang w:eastAsia="pl-PL"/>
        </w:rPr>
        <w:t>,</w:t>
      </w:r>
      <w:r w:rsidRPr="001A4EC1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 </w:t>
      </w:r>
      <w:r w:rsidRPr="001A4EC1">
        <w:rPr>
          <w:rFonts w:eastAsia="Times New Roman" w:cs="Times New Roman"/>
          <w:b/>
          <w:bCs/>
          <w:sz w:val="22"/>
          <w:u w:val="single"/>
          <w:lang w:eastAsia="pl-PL"/>
        </w:rPr>
        <w:br/>
      </w:r>
      <w:r w:rsidRPr="001A4EC1">
        <w:rPr>
          <w:rFonts w:eastAsia="Times New Roman" w:cs="Times New Roman"/>
          <w:sz w:val="18"/>
          <w:szCs w:val="24"/>
          <w:lang w:eastAsia="pl-PL"/>
        </w:rPr>
        <w:t>Do ceny nieruchomości osiągniętej w wyniku przetargu zostanie doliczony 23% podatek VAT, zgodnie z ustawą z dnia                   11 marca 2004 r. o podatku od towarów i usług (Dz. U. z 2022 r. poz. 931 ze zm.).</w:t>
      </w:r>
    </w:p>
    <w:p w14:paraId="72AC2335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0CF9187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460EC9D3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40617F11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ascii="Bookman Old Style" w:eastAsia="Times New Roman" w:hAnsi="Bookman Old Style" w:cs="Times New Roman"/>
          <w:szCs w:val="24"/>
          <w:lang w:eastAsia="pl-PL"/>
        </w:rPr>
        <w:t xml:space="preserve">4. </w:t>
      </w:r>
      <w:r w:rsidRPr="001A4EC1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W przypadku sprzedaży nieruchomości rolnej - Krajowemu Ośrodkowi Wsparcia Rolnictwa przysługuje prawo pierwokupu tej nieruchomości </w:t>
      </w:r>
      <w:r w:rsidRPr="001A4EC1">
        <w:rPr>
          <w:rFonts w:eastAsia="Times New Roman" w:cs="Times New Roman"/>
          <w:sz w:val="22"/>
          <w:lang w:eastAsia="pl-PL"/>
        </w:rPr>
        <w:t xml:space="preserve">(wówczas strony transakcji zawierają warunkową umowę sprzedaży). </w:t>
      </w:r>
    </w:p>
    <w:p w14:paraId="775479BA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 xml:space="preserve">Prawo pierwokupu nieruchomości rolnej KOWR może wykonać w ciągu miesiąca od otrzymania zawiadomienia o treści zawartej warunkowej umowy sprzedaży. </w:t>
      </w:r>
    </w:p>
    <w:p w14:paraId="7ECECA81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1A4EC1">
        <w:rPr>
          <w:rFonts w:eastAsia="Times New Roman" w:cs="Times New Roman"/>
          <w:sz w:val="22"/>
          <w:u w:val="single"/>
          <w:lang w:eastAsia="pl-PL"/>
        </w:rPr>
        <w:t>Prawo nabycia nie przysługuje KOWR m.in. jeżeli nabycie nieruchomości rolnej następuje:</w:t>
      </w:r>
    </w:p>
    <w:p w14:paraId="5E3BB378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przez rolnika indywidualnego, w wyniku czego powiększa on gospodarstwo rodzinne, a nabywana nieruchomość położona jest w gminie, w której ma on miejsce zamieszkania, lub w gminie graniczącej z tą gminą,</w:t>
      </w:r>
    </w:p>
    <w:p w14:paraId="3360DF22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 przez rolnika indywidualnego w wyniku zapisu windykacyjnego,</w:t>
      </w:r>
    </w:p>
    <w:p w14:paraId="265CDB58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 w wyniku dziedziczenia ustawowego albo dziedziczenia przez rolnika indywidualnego,</w:t>
      </w:r>
    </w:p>
    <w:p w14:paraId="53577717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 przez osobę bliską zbywcy,</w:t>
      </w:r>
    </w:p>
    <w:p w14:paraId="5D808911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za zgodą Dyrektora Generalnego Krajowego Ośrodka Wsparcia Rolnictwa, wyrażoną w drodze decyzji administracyjnej, o której mowa w art. 2a ust. 4 ustawy o kształtowaniu ustroju rolnego</w:t>
      </w:r>
    </w:p>
    <w:p w14:paraId="2717379B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lastRenderedPageBreak/>
        <w:t>- przez Spółkę Celową,</w:t>
      </w:r>
    </w:p>
    <w:p w14:paraId="40BCF466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przez spółdzielnię produkcji rolnej,</w:t>
      </w:r>
    </w:p>
    <w:p w14:paraId="2BF8C4A6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przez członka spółdzielni produkcji rolnej,</w:t>
      </w:r>
    </w:p>
    <w:p w14:paraId="019CD4BF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w wyniku wykonania umowy z następcą,</w:t>
      </w:r>
    </w:p>
    <w:p w14:paraId="789A5EF4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1A4EC1">
        <w:rPr>
          <w:rFonts w:eastAsia="Times New Roman" w:cs="Times New Roman"/>
          <w:sz w:val="22"/>
          <w:lang w:eastAsia="pl-PL"/>
        </w:rPr>
        <w:t>- pomiędzy osobami prawnymi działającymi na podstawie przepisów o stosunku Państwa do Kościoła Katolickiego w Rzeczpospolitej Polskiej.</w:t>
      </w:r>
    </w:p>
    <w:p w14:paraId="55399FFD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EBBA120" w14:textId="18B137E9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1A4EC1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30 grudnia 2022 r.</w:t>
      </w:r>
    </w:p>
    <w:p w14:paraId="1F2117E7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539EB323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6.</w:t>
      </w:r>
      <w:r w:rsidRPr="001A4EC1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1A4EC1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0A4B24BA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1A4EC1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7FCCB355" w14:textId="77777777" w:rsidR="001A4EC1" w:rsidRPr="001A4EC1" w:rsidRDefault="001A4EC1" w:rsidP="001A4EC1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B08B3D2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7E76784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37AFFE8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0B82FA9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5095211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19E30C4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CC199D6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A3756EC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80E6DB5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C9387A7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2C7F5C5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C2C7A2D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1581B0A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C1230DD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0E96D26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60CFCA2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B44A4AD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36E41D1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7DF8E8C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66C5D5D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6467DB8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951D9E0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4206502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9CFB027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FA5AB5F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1AC483B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95BEEC6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6E41F22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88B4946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286C7D0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7AC580B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9BA83E6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362E997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4A83A4B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4D1336D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8AEB0D2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0C2220F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2A17504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712CC95" w14:textId="77777777" w:rsidR="001A4EC1" w:rsidRPr="001A4EC1" w:rsidRDefault="001A4EC1" w:rsidP="001A4EC1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4AD3123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0033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450"/>
    <w:rsid w:val="000C2CC6"/>
    <w:rsid w:val="000D72C6"/>
    <w:rsid w:val="001A4EC1"/>
    <w:rsid w:val="00301FA4"/>
    <w:rsid w:val="00341780"/>
    <w:rsid w:val="0042345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3A004-B19D-4922-9B58-5ADC2D3DA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2022-11-18T08:17:00Z</dcterms:created>
  <dcterms:modified xsi:type="dcterms:W3CDTF">2022-11-18T08:17:00Z</dcterms:modified>
</cp:coreProperties>
</file>