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C9D7" w14:textId="77777777" w:rsidR="004D1923" w:rsidRDefault="004D1923" w:rsidP="004D1923">
      <w:pPr>
        <w:pStyle w:val="Tekstpodstawowy"/>
        <w:rPr>
          <w:rFonts w:ascii="Arial Black" w:hAnsi="Arial Black"/>
          <w:b/>
          <w:bCs/>
          <w:iCs/>
        </w:rPr>
      </w:pPr>
      <w:r>
        <w:rPr>
          <w:rFonts w:ascii="Arial Black" w:hAnsi="Arial Black"/>
          <w:b/>
          <w:bCs/>
          <w:iCs/>
        </w:rPr>
        <w:t>BURMISTRZ GÓRY</w:t>
      </w:r>
      <w:r>
        <w:rPr>
          <w:rFonts w:ascii="Arial Black" w:hAnsi="Arial Black"/>
          <w:b/>
          <w:bCs/>
          <w:iCs/>
        </w:rPr>
        <w:tab/>
      </w:r>
      <w:r>
        <w:rPr>
          <w:rFonts w:ascii="Arial Black" w:hAnsi="Arial Black"/>
          <w:b/>
          <w:bCs/>
          <w:iCs/>
        </w:rPr>
        <w:tab/>
      </w:r>
      <w:r>
        <w:rPr>
          <w:rFonts w:ascii="Arial Black" w:hAnsi="Arial Black"/>
          <w:b/>
          <w:bCs/>
          <w:iCs/>
        </w:rPr>
        <w:tab/>
      </w:r>
      <w:r>
        <w:rPr>
          <w:rFonts w:ascii="Arial Black" w:hAnsi="Arial Black"/>
          <w:b/>
          <w:bCs/>
          <w:iCs/>
        </w:rPr>
        <w:tab/>
        <w:t xml:space="preserve">          </w:t>
      </w:r>
      <w:r>
        <w:rPr>
          <w:rFonts w:ascii="Times New Roman" w:hAnsi="Times New Roman"/>
          <w:sz w:val="24"/>
        </w:rPr>
        <w:t>Góra, dnia 24 lutego 2022 r.</w:t>
      </w:r>
    </w:p>
    <w:p w14:paraId="49AC038A" w14:textId="77777777" w:rsidR="004D1923" w:rsidRDefault="004D1923" w:rsidP="004D1923">
      <w:pPr>
        <w:pStyle w:val="Tekstpodstawowy"/>
        <w:jc w:val="both"/>
        <w:rPr>
          <w:rFonts w:ascii="Arial Black" w:hAnsi="Arial Black"/>
          <w:b/>
          <w:bCs/>
          <w:iCs/>
          <w:sz w:val="18"/>
        </w:rPr>
      </w:pPr>
      <w:r>
        <w:rPr>
          <w:rFonts w:ascii="Arial Black" w:hAnsi="Arial Black"/>
          <w:b/>
          <w:bCs/>
          <w:iCs/>
          <w:sz w:val="18"/>
        </w:rPr>
        <w:t xml:space="preserve"> ul. Adama Mickiewicza 1</w:t>
      </w:r>
    </w:p>
    <w:p w14:paraId="67109514" w14:textId="77777777" w:rsidR="004D1923" w:rsidRDefault="004D1923" w:rsidP="004D1923">
      <w:pPr>
        <w:pStyle w:val="Tekstpodstawowy"/>
        <w:rPr>
          <w:rFonts w:ascii="Arial Black" w:hAnsi="Arial Black"/>
          <w:b/>
          <w:bCs/>
          <w:iCs/>
          <w:sz w:val="18"/>
        </w:rPr>
      </w:pPr>
      <w:r>
        <w:rPr>
          <w:rFonts w:ascii="Arial Black" w:hAnsi="Arial Black"/>
          <w:b/>
          <w:bCs/>
          <w:iCs/>
          <w:sz w:val="18"/>
        </w:rPr>
        <w:t xml:space="preserve">         56-200 Góra</w:t>
      </w:r>
    </w:p>
    <w:p w14:paraId="02341934" w14:textId="77777777" w:rsidR="004D1923" w:rsidRDefault="004D1923" w:rsidP="004D1923">
      <w:pPr>
        <w:pStyle w:val="Nagwek8"/>
        <w:jc w:val="left"/>
        <w:rPr>
          <w:i/>
          <w:iCs/>
          <w:sz w:val="23"/>
        </w:rPr>
      </w:pPr>
      <w:r>
        <w:rPr>
          <w:b w:val="0"/>
          <w:u w:val="none"/>
        </w:rPr>
        <w:t>GN.6845.39.2021</w:t>
      </w:r>
      <w:r>
        <w:rPr>
          <w:b w:val="0"/>
          <w:u w:val="none"/>
        </w:rPr>
        <w:tab/>
      </w:r>
    </w:p>
    <w:p w14:paraId="23B799D0" w14:textId="77777777" w:rsidR="004D1923" w:rsidRDefault="004D1923" w:rsidP="004D1923">
      <w:pPr>
        <w:pStyle w:val="Nagwek8"/>
      </w:pPr>
      <w:r>
        <w:rPr>
          <w:sz w:val="23"/>
        </w:rPr>
        <w:t>OGŁOSZENIE O PRZETARGU</w:t>
      </w:r>
    </w:p>
    <w:p w14:paraId="559483B3" w14:textId="62422478" w:rsidR="004D1923" w:rsidRDefault="004D1923" w:rsidP="004D1923">
      <w:pPr>
        <w:jc w:val="both"/>
        <w:rPr>
          <w:sz w:val="23"/>
        </w:rPr>
      </w:pPr>
      <w:r>
        <w:rPr>
          <w:sz w:val="23"/>
        </w:rPr>
        <w:t>Na podstawie art. 38 ust. 1 i 2 ustawy z dnia 21 sierpnia 1997 r. o gospodarce nieruchomościami (Dz. U. z 2021 r. poz. 1899 ze zm.) i § 13 Rozporządzenia Rady Ministrów z dnia 14 września 2004 r. w sprawie sposobu i trybu przeprowadzania przetargów oraz rokowań na zbycie nieruchomości (Dz. U. z 2021  r. poz. 2213)</w:t>
      </w:r>
    </w:p>
    <w:p w14:paraId="3D8D5147" w14:textId="77777777" w:rsidR="004D1923" w:rsidRDefault="004D1923" w:rsidP="004D1923">
      <w:pPr>
        <w:pStyle w:val="Nagwek4"/>
        <w:overflowPunct/>
        <w:autoSpaceDE/>
        <w:adjustRightInd/>
        <w:jc w:val="left"/>
        <w:rPr>
          <w:bCs/>
          <w:spacing w:val="0"/>
          <w:sz w:val="23"/>
          <w:szCs w:val="24"/>
        </w:rPr>
      </w:pPr>
    </w:p>
    <w:p w14:paraId="7173F62B" w14:textId="77777777" w:rsidR="004D1923" w:rsidRDefault="004D1923" w:rsidP="004D1923">
      <w:pPr>
        <w:pStyle w:val="Nagwek4"/>
        <w:overflowPunct/>
        <w:autoSpaceDE/>
        <w:adjustRightInd/>
        <w:rPr>
          <w:bCs/>
          <w:spacing w:val="0"/>
          <w:sz w:val="23"/>
          <w:szCs w:val="24"/>
        </w:rPr>
      </w:pPr>
      <w:r>
        <w:rPr>
          <w:bCs/>
          <w:spacing w:val="0"/>
          <w:sz w:val="23"/>
          <w:szCs w:val="24"/>
        </w:rPr>
        <w:t>BURMISTRZ GÓRY OGŁASZA</w:t>
      </w:r>
    </w:p>
    <w:p w14:paraId="08B7C69C" w14:textId="77777777" w:rsidR="004D1923" w:rsidRDefault="004D1923" w:rsidP="004D1923">
      <w:pPr>
        <w:pStyle w:val="Nagwek5"/>
        <w:overflowPunct/>
        <w:autoSpaceDE/>
        <w:adjustRightInd/>
        <w:rPr>
          <w:rFonts w:ascii="Times New Roman" w:hAnsi="Times New Roman"/>
          <w:bCs/>
          <w:spacing w:val="0"/>
          <w:sz w:val="23"/>
          <w:szCs w:val="24"/>
        </w:rPr>
      </w:pPr>
      <w:r>
        <w:rPr>
          <w:rFonts w:ascii="Times New Roman" w:hAnsi="Times New Roman"/>
          <w:bCs/>
          <w:spacing w:val="0"/>
          <w:sz w:val="23"/>
          <w:szCs w:val="24"/>
        </w:rPr>
        <w:t>II NIEOGRANICZONY PRZETARG USTNY</w:t>
      </w:r>
    </w:p>
    <w:p w14:paraId="0D4B133C" w14:textId="77777777" w:rsidR="004D1923" w:rsidRDefault="004D1923" w:rsidP="004D1923">
      <w:pPr>
        <w:jc w:val="center"/>
        <w:rPr>
          <w:rFonts w:ascii="Arial Narrow" w:hAnsi="Arial Narrow"/>
          <w:b/>
          <w:bCs/>
          <w:sz w:val="23"/>
        </w:rPr>
      </w:pPr>
      <w:r>
        <w:rPr>
          <w:b/>
          <w:bCs/>
          <w:sz w:val="23"/>
        </w:rPr>
        <w:t>na wydzierżawienie nieruchomości na okres 3 lat</w:t>
      </w:r>
    </w:p>
    <w:p w14:paraId="142D9FFE" w14:textId="77777777" w:rsidR="004D1923" w:rsidRDefault="004D1923" w:rsidP="004D1923">
      <w:pPr>
        <w:jc w:val="both"/>
        <w:rPr>
          <w:rFonts w:ascii="Arial Narrow" w:hAnsi="Arial Narrow"/>
          <w:b/>
          <w:bCs/>
          <w:sz w:val="23"/>
        </w:rPr>
      </w:pPr>
    </w:p>
    <w:p w14:paraId="355F99C8" w14:textId="77777777" w:rsidR="004D1923" w:rsidRDefault="004D1923" w:rsidP="004D1923">
      <w:pPr>
        <w:jc w:val="both"/>
        <w:rPr>
          <w:rFonts w:ascii="Arial Narrow" w:hAnsi="Arial Narrow"/>
          <w:b/>
          <w:bCs/>
          <w:sz w:val="23"/>
        </w:rPr>
      </w:pPr>
      <w:r>
        <w:rPr>
          <w:bCs/>
          <w:sz w:val="23"/>
        </w:rPr>
        <w:t>Nieruchomość p</w:t>
      </w:r>
      <w:r>
        <w:rPr>
          <w:sz w:val="23"/>
        </w:rPr>
        <w:t xml:space="preserve">ołożona w obrębie </w:t>
      </w:r>
      <w:r>
        <w:rPr>
          <w:b/>
          <w:sz w:val="23"/>
        </w:rPr>
        <w:t>miejscowości Osetno Małe</w:t>
      </w:r>
      <w:r>
        <w:rPr>
          <w:b/>
          <w:bCs/>
          <w:sz w:val="23"/>
        </w:rPr>
        <w:t>,</w:t>
      </w:r>
      <w:r>
        <w:rPr>
          <w:sz w:val="23"/>
        </w:rPr>
        <w:t xml:space="preserve"> oznaczona w ewidencji gruntów jako działka nr:</w:t>
      </w:r>
    </w:p>
    <w:p w14:paraId="2F9B6493" w14:textId="3E012199" w:rsidR="004D1923" w:rsidRDefault="004D1923" w:rsidP="004D1923">
      <w:pPr>
        <w:numPr>
          <w:ilvl w:val="0"/>
          <w:numId w:val="1"/>
        </w:numPr>
        <w:tabs>
          <w:tab w:val="num" w:pos="284"/>
        </w:tabs>
        <w:ind w:left="284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7B28" wp14:editId="08444469">
                <wp:simplePos x="0" y="0"/>
                <wp:positionH relativeFrom="column">
                  <wp:posOffset>4034155</wp:posOffset>
                </wp:positionH>
                <wp:positionV relativeFrom="paragraph">
                  <wp:posOffset>262890</wp:posOffset>
                </wp:positionV>
                <wp:extent cx="2565400" cy="2682240"/>
                <wp:effectExtent l="5080" t="5715" r="10795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10CB7" w14:textId="5F1B52B3" w:rsidR="004D1923" w:rsidRDefault="004D1923" w:rsidP="004D1923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217C0F" wp14:editId="31B3F06D">
                                  <wp:extent cx="2371725" cy="25812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725" cy="2581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07B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7.65pt;margin-top:20.7pt;width:202pt;height:21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">
                <v:textbox style="mso-fit-shape-to-text:t">
                  <w:txbxContent>
                    <w:p w14:paraId="1DA10CB7" w14:textId="5F1B52B3" w:rsidR="004D1923" w:rsidRDefault="004D1923" w:rsidP="004D1923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6217C0F" wp14:editId="31B3F06D">
                            <wp:extent cx="2371725" cy="25812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725" cy="2581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3"/>
        </w:rPr>
        <w:t xml:space="preserve">87/1 o powierzchni 0,1300 ha, sklasyfikowana jako N, </w:t>
      </w:r>
      <w:r>
        <w:rPr>
          <w:sz w:val="23"/>
        </w:rPr>
        <w:t xml:space="preserve">dla której Sąd Rejonowy </w:t>
      </w:r>
      <w:r>
        <w:rPr>
          <w:sz w:val="23"/>
        </w:rPr>
        <w:br/>
        <w:t xml:space="preserve">w Głogowie, prowadzi księgę wieczystą nr LE1G/00076332/0. </w:t>
      </w:r>
    </w:p>
    <w:p w14:paraId="776E29D9" w14:textId="77777777" w:rsidR="004D1923" w:rsidRDefault="004D1923" w:rsidP="004D1923">
      <w:pPr>
        <w:rPr>
          <w:sz w:val="23"/>
        </w:rPr>
      </w:pPr>
    </w:p>
    <w:p w14:paraId="584870DA" w14:textId="77777777" w:rsidR="004D1923" w:rsidRDefault="004D1923" w:rsidP="004D1923">
      <w:r>
        <w:rPr>
          <w:sz w:val="23"/>
        </w:rPr>
        <w:t xml:space="preserve">W/w nieruchomość wolna jest od ograniczeń, obciążeń i hipotek. </w:t>
      </w:r>
      <w:r>
        <w:rPr>
          <w:sz w:val="23"/>
        </w:rPr>
        <w:br/>
      </w:r>
      <w:r>
        <w:t xml:space="preserve">W Planie Zagospodarowania Przestrzennego dla gminy Góra </w:t>
      </w:r>
      <w:r>
        <w:br/>
        <w:t xml:space="preserve">działka </w:t>
      </w:r>
      <w:r>
        <w:rPr>
          <w:b/>
          <w:bCs/>
        </w:rPr>
        <w:t xml:space="preserve">nr 87/1 </w:t>
      </w:r>
      <w:r>
        <w:t xml:space="preserve">znajduje się w jednostce bilansowej </w:t>
      </w:r>
      <w:r>
        <w:rPr>
          <w:b/>
          <w:bCs/>
        </w:rPr>
        <w:t>N</w:t>
      </w:r>
      <w:r>
        <w:t xml:space="preserve">, </w:t>
      </w:r>
      <w:r>
        <w:br/>
        <w:t>dla której ustala się przeznaczenie na tereny nieużytków.</w:t>
      </w:r>
    </w:p>
    <w:p w14:paraId="6E1E4152" w14:textId="77777777" w:rsidR="004D1923" w:rsidRDefault="004D1923" w:rsidP="004D1923">
      <w:r>
        <w:t xml:space="preserve">Ponadto przedmiotowa nieruchomość znajduje się na obszarze </w:t>
      </w:r>
      <w:r>
        <w:br/>
        <w:t>zalewowym. Posiada dostęp do drogi.</w:t>
      </w:r>
    </w:p>
    <w:p w14:paraId="19BCD6BC" w14:textId="77777777" w:rsidR="004D1923" w:rsidRDefault="004D1923" w:rsidP="004D1923">
      <w:pPr>
        <w:jc w:val="both"/>
        <w:rPr>
          <w:sz w:val="23"/>
          <w:u w:val="single"/>
        </w:rPr>
      </w:pPr>
    </w:p>
    <w:p w14:paraId="7C86AC28" w14:textId="77777777" w:rsidR="004D1923" w:rsidRDefault="004D1923" w:rsidP="004D1923">
      <w:pPr>
        <w:pStyle w:val="Nagwek3"/>
        <w:rPr>
          <w:sz w:val="23"/>
        </w:rPr>
      </w:pPr>
      <w:r>
        <w:rPr>
          <w:sz w:val="23"/>
        </w:rPr>
        <w:t xml:space="preserve">Wywoławczy roczny czynsz dzierżawny ustalony został </w:t>
      </w:r>
      <w:r>
        <w:rPr>
          <w:sz w:val="23"/>
        </w:rPr>
        <w:br/>
        <w:t>w wysokości: 0,07 q pszenicy.</w:t>
      </w:r>
    </w:p>
    <w:p w14:paraId="55876DC5" w14:textId="77777777" w:rsidR="004D1923" w:rsidRDefault="004D1923" w:rsidP="004D1923">
      <w:pPr>
        <w:jc w:val="both"/>
      </w:pPr>
    </w:p>
    <w:p w14:paraId="478B067E" w14:textId="77777777" w:rsidR="004D1923" w:rsidRDefault="004D1923" w:rsidP="004D1923">
      <w:r>
        <w:t xml:space="preserve">I ustny przetarg nieograniczony na wydzierżawienie </w:t>
      </w:r>
      <w:r>
        <w:br/>
        <w:t xml:space="preserve">przedmiotowej działki wyznaczony na dzień 12 stycznia 2022 r. </w:t>
      </w:r>
      <w:r>
        <w:br/>
        <w:t xml:space="preserve">zakończył się wynikiem negatywnym. </w:t>
      </w:r>
    </w:p>
    <w:p w14:paraId="3B84E724" w14:textId="77777777" w:rsidR="004D1923" w:rsidRDefault="004D1923" w:rsidP="004D1923">
      <w:pPr>
        <w:rPr>
          <w:sz w:val="23"/>
        </w:rPr>
      </w:pPr>
    </w:p>
    <w:p w14:paraId="74A421F9" w14:textId="77777777" w:rsidR="004D1923" w:rsidRDefault="004D1923" w:rsidP="004D1923">
      <w:pPr>
        <w:rPr>
          <w:b/>
          <w:bCs/>
          <w:sz w:val="23"/>
        </w:rPr>
      </w:pPr>
      <w:r>
        <w:rPr>
          <w:sz w:val="23"/>
        </w:rPr>
        <w:t xml:space="preserve">Szczegółowe informacje dotyczące ww. nieruchomości można </w:t>
      </w:r>
      <w:r>
        <w:rPr>
          <w:sz w:val="23"/>
        </w:rPr>
        <w:br/>
        <w:t xml:space="preserve">uzyskać w Urzędzie Miasta i Gminy w Górze, ul. Adama Mickiewicza 1, w Wydziale Gospodarki Nieruchomościami i Spraw Komunalnych - pokój 108, tel. (65) 544 36 31. </w:t>
      </w:r>
    </w:p>
    <w:p w14:paraId="57B83BC0" w14:textId="77777777" w:rsidR="004D1923" w:rsidRDefault="004D1923" w:rsidP="004D1923">
      <w:pPr>
        <w:rPr>
          <w:b/>
          <w:bCs/>
          <w:sz w:val="23"/>
        </w:rPr>
      </w:pPr>
    </w:p>
    <w:p w14:paraId="51D91CF9" w14:textId="77777777" w:rsidR="004D1923" w:rsidRDefault="004D1923" w:rsidP="004D1923">
      <w:pPr>
        <w:jc w:val="both"/>
        <w:rPr>
          <w:b/>
          <w:bCs/>
          <w:i/>
          <w:iCs/>
          <w:sz w:val="23"/>
        </w:rPr>
      </w:pPr>
      <w:r>
        <w:rPr>
          <w:b/>
          <w:bCs/>
          <w:i/>
          <w:iCs/>
          <w:sz w:val="23"/>
        </w:rPr>
        <w:t xml:space="preserve">PRZETARG ODBĘDZIE SIĘ W DNIU </w:t>
      </w:r>
      <w:r>
        <w:rPr>
          <w:b/>
          <w:bCs/>
          <w:i/>
          <w:iCs/>
          <w:sz w:val="23"/>
          <w:u w:val="single"/>
        </w:rPr>
        <w:t>6 KWIETNIA 2022 R.</w:t>
      </w:r>
      <w:r>
        <w:rPr>
          <w:b/>
          <w:bCs/>
          <w:i/>
          <w:iCs/>
          <w:sz w:val="23"/>
        </w:rPr>
        <w:t xml:space="preserve"> O GODZ. 9</w:t>
      </w:r>
      <w:r>
        <w:rPr>
          <w:b/>
          <w:bCs/>
          <w:i/>
          <w:iCs/>
          <w:sz w:val="23"/>
          <w:u w:val="single"/>
          <w:vertAlign w:val="superscript"/>
        </w:rPr>
        <w:t>30</w:t>
      </w:r>
      <w:r>
        <w:rPr>
          <w:b/>
          <w:bCs/>
          <w:i/>
          <w:iCs/>
          <w:sz w:val="23"/>
        </w:rPr>
        <w:t xml:space="preserve"> W POK. 108</w:t>
      </w:r>
      <w:r>
        <w:rPr>
          <w:b/>
          <w:bCs/>
          <w:i/>
          <w:iCs/>
          <w:sz w:val="23"/>
        </w:rPr>
        <w:br/>
        <w:t>W SIEDZIBIE URZĘDU MIASTA I GMINY W GÓRZE.</w:t>
      </w:r>
    </w:p>
    <w:p w14:paraId="11396FB3" w14:textId="77777777" w:rsidR="004D1923" w:rsidRDefault="004D1923" w:rsidP="004D1923">
      <w:pPr>
        <w:jc w:val="both"/>
        <w:rPr>
          <w:b/>
          <w:bCs/>
          <w:i/>
          <w:iCs/>
          <w:sz w:val="23"/>
        </w:rPr>
      </w:pPr>
      <w:r>
        <w:rPr>
          <w:b/>
          <w:bCs/>
          <w:i/>
          <w:iCs/>
          <w:sz w:val="23"/>
        </w:rPr>
        <w:t xml:space="preserve">Wadium w kwocie 1,- zł  </w:t>
      </w:r>
      <w:r>
        <w:rPr>
          <w:b/>
          <w:bCs/>
          <w:i/>
          <w:iCs/>
          <w:sz w:val="23"/>
          <w:u w:val="single"/>
        </w:rPr>
        <w:t>należy wpłacić najpóźniej do dnia 31 marca 2022 r.</w:t>
      </w:r>
      <w:r>
        <w:rPr>
          <w:b/>
          <w:bCs/>
          <w:i/>
          <w:iCs/>
          <w:sz w:val="23"/>
        </w:rPr>
        <w:t xml:space="preserve"> w kasie Urzędu Miasta i Gminy w Górze – pokój 24 bądź na konto Urzędu – </w:t>
      </w:r>
    </w:p>
    <w:p w14:paraId="637EE770" w14:textId="77777777" w:rsidR="004D1923" w:rsidRDefault="004D1923" w:rsidP="004D1923">
      <w:pPr>
        <w:jc w:val="both"/>
        <w:rPr>
          <w:b/>
          <w:bCs/>
          <w:i/>
          <w:iCs/>
          <w:sz w:val="23"/>
        </w:rPr>
      </w:pPr>
      <w:r>
        <w:rPr>
          <w:b/>
          <w:bCs/>
          <w:i/>
          <w:iCs/>
          <w:sz w:val="23"/>
        </w:rPr>
        <w:t xml:space="preserve">PKO BP S.A. nr  45 1020 5226 0000 6202 0497 0226 </w:t>
      </w:r>
      <w:r>
        <w:rPr>
          <w:i/>
          <w:iCs/>
          <w:sz w:val="23"/>
        </w:rPr>
        <w:t xml:space="preserve"> </w:t>
      </w:r>
      <w:r>
        <w:rPr>
          <w:b/>
          <w:bCs/>
          <w:i/>
          <w:iCs/>
          <w:sz w:val="23"/>
        </w:rPr>
        <w:t xml:space="preserve">z dopiskiem „Przetarg na działkę </w:t>
      </w:r>
      <w:r>
        <w:rPr>
          <w:b/>
          <w:bCs/>
          <w:i/>
          <w:iCs/>
          <w:sz w:val="23"/>
        </w:rPr>
        <w:br/>
        <w:t>nr 87/1”</w:t>
      </w:r>
    </w:p>
    <w:p w14:paraId="1681A37C" w14:textId="77777777" w:rsidR="004D1923" w:rsidRDefault="004D1923" w:rsidP="004D1923">
      <w:pPr>
        <w:jc w:val="both"/>
        <w:rPr>
          <w:sz w:val="23"/>
        </w:rPr>
      </w:pPr>
      <w:r>
        <w:rPr>
          <w:sz w:val="23"/>
        </w:rPr>
        <w:t>Data wniesienia wadium jest data uznania rachunku bankowego Gminy.</w:t>
      </w:r>
    </w:p>
    <w:p w14:paraId="06697FD3" w14:textId="77777777" w:rsidR="004D1923" w:rsidRDefault="004D1923" w:rsidP="004D1923">
      <w:pPr>
        <w:jc w:val="both"/>
        <w:rPr>
          <w:b/>
          <w:bCs/>
          <w:i/>
          <w:iCs/>
          <w:sz w:val="23"/>
        </w:rPr>
      </w:pPr>
      <w:r>
        <w:rPr>
          <w:sz w:val="23"/>
        </w:rPr>
        <w:t>O wysokości postąpienia decydują uczestnicy przetargu, z tym że nie może być ono niższe niż 1% czynszu wywoławczego.</w:t>
      </w:r>
    </w:p>
    <w:p w14:paraId="185988D6" w14:textId="77777777" w:rsidR="004D1923" w:rsidRDefault="004D1923" w:rsidP="004D1923">
      <w:pPr>
        <w:jc w:val="both"/>
        <w:rPr>
          <w:i/>
          <w:iCs/>
          <w:sz w:val="23"/>
        </w:rPr>
      </w:pPr>
      <w:r>
        <w:rPr>
          <w:i/>
          <w:iCs/>
          <w:sz w:val="23"/>
        </w:rPr>
        <w:t>W przetargu mogą brać udział osoby, które wpłacą wadium w wyznaczonym terminie i przedłożą komisji przetargowej w dniu przetargu:</w:t>
      </w:r>
    </w:p>
    <w:p w14:paraId="3DE342A6" w14:textId="77777777" w:rsidR="004D1923" w:rsidRDefault="004D1923" w:rsidP="004D1923">
      <w:pPr>
        <w:numPr>
          <w:ilvl w:val="0"/>
          <w:numId w:val="1"/>
        </w:numPr>
        <w:jc w:val="both"/>
        <w:rPr>
          <w:i/>
          <w:iCs/>
          <w:sz w:val="23"/>
        </w:rPr>
      </w:pPr>
      <w:r>
        <w:rPr>
          <w:i/>
          <w:iCs/>
          <w:sz w:val="23"/>
        </w:rPr>
        <w:t>w przypadku osób fizycznych – dowód tożsamości i oryginał dowodu wpłaty wadium,</w:t>
      </w:r>
    </w:p>
    <w:p w14:paraId="5280AA07" w14:textId="77777777" w:rsidR="004D1923" w:rsidRDefault="004D1923" w:rsidP="004D1923">
      <w:pPr>
        <w:numPr>
          <w:ilvl w:val="0"/>
          <w:numId w:val="1"/>
        </w:numPr>
        <w:jc w:val="both"/>
        <w:rPr>
          <w:i/>
          <w:iCs/>
          <w:sz w:val="23"/>
          <w:u w:val="single"/>
        </w:rPr>
      </w:pPr>
      <w:r>
        <w:rPr>
          <w:i/>
          <w:iCs/>
          <w:sz w:val="23"/>
        </w:rPr>
        <w:t>w przypadku osób prawnych – aktualny wypis z rejestru, właściwe pełnomocnictwa, dowody tożsamości osób reprezentujących podmiot, oryginał dowodu wpłaty wadium,</w:t>
      </w:r>
    </w:p>
    <w:p w14:paraId="2D07B293" w14:textId="77777777" w:rsidR="004D1923" w:rsidRDefault="004D1923" w:rsidP="004D1923">
      <w:pPr>
        <w:numPr>
          <w:ilvl w:val="0"/>
          <w:numId w:val="1"/>
        </w:numPr>
        <w:jc w:val="both"/>
        <w:rPr>
          <w:i/>
          <w:iCs/>
          <w:sz w:val="23"/>
          <w:u w:val="single"/>
        </w:rPr>
      </w:pPr>
      <w:r>
        <w:rPr>
          <w:i/>
          <w:iCs/>
          <w:sz w:val="23"/>
        </w:rPr>
        <w:t>pełnomocnicy osób fizycznych powinni zobowiązani są przedstawić upoważnienie,</w:t>
      </w:r>
    </w:p>
    <w:p w14:paraId="1B5A77B0" w14:textId="77777777" w:rsidR="004D1923" w:rsidRDefault="004D1923" w:rsidP="004D1923">
      <w:pPr>
        <w:jc w:val="both"/>
        <w:rPr>
          <w:sz w:val="23"/>
        </w:rPr>
      </w:pPr>
    </w:p>
    <w:p w14:paraId="6B069EE3" w14:textId="77777777" w:rsidR="004D1923" w:rsidRDefault="004D1923" w:rsidP="004D1923">
      <w:pPr>
        <w:jc w:val="both"/>
        <w:rPr>
          <w:sz w:val="23"/>
        </w:rPr>
      </w:pPr>
      <w:r>
        <w:rPr>
          <w:sz w:val="23"/>
        </w:rPr>
        <w:t xml:space="preserve">Wadium wpłacone przez osobę, która wygra przetarg zostanie zaliczone na poczet czynszu dzierżawnego za rok 2022, a w przypadku uchylenia się przez tę osobę od zawarcia umowy dzierżawy, wadium przepada na rzecz wydzierżawiającego. Pozostałym uczestnikom przetargu wpłacone wadium zwraca się w terminie trzech dni od daty zamknięcia przetargu. </w:t>
      </w:r>
    </w:p>
    <w:p w14:paraId="780A5B01" w14:textId="77777777" w:rsidR="004D1923" w:rsidRDefault="004D1923" w:rsidP="004D1923">
      <w:pPr>
        <w:jc w:val="both"/>
        <w:rPr>
          <w:b/>
          <w:bCs/>
          <w:sz w:val="23"/>
        </w:rPr>
      </w:pPr>
      <w:r>
        <w:rPr>
          <w:b/>
          <w:bCs/>
          <w:sz w:val="23"/>
        </w:rPr>
        <w:t>ORGANIZATOR PRZETARGU ZASTRZEGA SOBIE PRAWO ODWOŁANIA PRZETARGU TYLKO Z WAŻNYCH PRZYCZYN.</w:t>
      </w:r>
    </w:p>
    <w:p w14:paraId="40522EF9" w14:textId="77777777" w:rsidR="004D1923" w:rsidRDefault="004D1923" w:rsidP="004D1923">
      <w:pPr>
        <w:rPr>
          <w:sz w:val="23"/>
        </w:rPr>
      </w:pPr>
    </w:p>
    <w:p w14:paraId="2BE0D8CE" w14:textId="77777777" w:rsidR="004D1923" w:rsidRDefault="004D1923" w:rsidP="004D1923">
      <w:pPr>
        <w:tabs>
          <w:tab w:val="left" w:pos="7635"/>
        </w:tabs>
        <w:rPr>
          <w:sz w:val="23"/>
        </w:rPr>
      </w:pPr>
    </w:p>
    <w:p w14:paraId="6BEA2236" w14:textId="77777777" w:rsidR="004D1923" w:rsidRDefault="004D1923" w:rsidP="004D1923">
      <w:pPr>
        <w:tabs>
          <w:tab w:val="left" w:pos="7635"/>
        </w:tabs>
        <w:rPr>
          <w:sz w:val="23"/>
        </w:rPr>
      </w:pPr>
    </w:p>
    <w:p w14:paraId="02B1A346" w14:textId="77777777" w:rsidR="00697D0F" w:rsidRDefault="00697D0F"/>
    <w:sectPr w:rsidR="0069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90151"/>
    <w:multiLevelType w:val="hybridMultilevel"/>
    <w:tmpl w:val="FEB657F4"/>
    <w:lvl w:ilvl="0" w:tplc="974CD9D0">
      <w:start w:val="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6E"/>
    <w:rsid w:val="000C2CC6"/>
    <w:rsid w:val="000D72C6"/>
    <w:rsid w:val="00301FA4"/>
    <w:rsid w:val="00341780"/>
    <w:rsid w:val="00474874"/>
    <w:rsid w:val="0048641B"/>
    <w:rsid w:val="004928C5"/>
    <w:rsid w:val="004A4894"/>
    <w:rsid w:val="004D1923"/>
    <w:rsid w:val="00562978"/>
    <w:rsid w:val="005B52E3"/>
    <w:rsid w:val="00697D0F"/>
    <w:rsid w:val="007D472B"/>
    <w:rsid w:val="00832067"/>
    <w:rsid w:val="00851F12"/>
    <w:rsid w:val="00D0436E"/>
    <w:rsid w:val="00EB3F34"/>
    <w:rsid w:val="00F3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6B82"/>
  <w15:chartTrackingRefBased/>
  <w15:docId w15:val="{999B5B46-544B-494A-81BB-2290DE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923"/>
    <w:pPr>
      <w:keepNext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D1923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pacing w:val="3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D1923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Bookman Old Style" w:hAnsi="Bookman Old Style"/>
      <w:b/>
      <w:spacing w:val="30"/>
      <w:sz w:val="22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D1923"/>
    <w:pPr>
      <w:keepNext/>
      <w:jc w:val="center"/>
      <w:outlineLvl w:val="7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74874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4A4894"/>
    <w:rPr>
      <w:rFonts w:eastAsiaTheme="majorEastAsia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4D192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D1923"/>
    <w:rPr>
      <w:rFonts w:ascii="Times New Roman" w:eastAsia="Times New Roman" w:hAnsi="Times New Roman" w:cs="Times New Roman"/>
      <w:b/>
      <w:spacing w:val="3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D1923"/>
    <w:rPr>
      <w:rFonts w:ascii="Bookman Old Style" w:eastAsia="Times New Roman" w:hAnsi="Bookman Old Style" w:cs="Times New Roman"/>
      <w:b/>
      <w:spacing w:val="3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D192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D1923"/>
    <w:rPr>
      <w:rFonts w:ascii="Book Antiqua" w:hAnsi="Book Antiqu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1923"/>
    <w:rPr>
      <w:rFonts w:ascii="Book Antiqua" w:eastAsia="Times New Roman" w:hAnsi="Book Antiqua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2022-02-25T10:57:00Z</dcterms:created>
  <dcterms:modified xsi:type="dcterms:W3CDTF">2022-02-25T10:58:00Z</dcterms:modified>
</cp:coreProperties>
</file>