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DC398" w14:textId="77777777" w:rsidR="00A67E13" w:rsidRPr="00A67E13" w:rsidRDefault="00A67E13" w:rsidP="00A67E13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A67E13">
        <w:rPr>
          <w:rFonts w:eastAsia="SimSun"/>
          <w:b/>
          <w:bCs/>
          <w:color w:val="4472C4"/>
          <w:sz w:val="28"/>
        </w:rPr>
        <w:t>BURMISTRZ GÓRY</w:t>
      </w:r>
    </w:p>
    <w:p w14:paraId="36D588C5" w14:textId="77777777" w:rsidR="00A67E13" w:rsidRPr="00A67E13" w:rsidRDefault="00A67E13" w:rsidP="00A67E13">
      <w:pPr>
        <w:rPr>
          <w:rFonts w:eastAsia="SimSun"/>
          <w:b/>
          <w:bCs/>
          <w:color w:val="4472C4"/>
          <w:sz w:val="24"/>
          <w:szCs w:val="24"/>
        </w:rPr>
      </w:pPr>
      <w:r w:rsidRPr="00A67E13">
        <w:rPr>
          <w:rFonts w:eastAsia="SimSun"/>
          <w:b/>
          <w:bCs/>
          <w:color w:val="4472C4"/>
          <w:sz w:val="24"/>
          <w:szCs w:val="24"/>
        </w:rPr>
        <w:t xml:space="preserve"> ul. Adama Mickiewicza</w:t>
      </w:r>
    </w:p>
    <w:p w14:paraId="38ECAC6F" w14:textId="77777777" w:rsidR="00A67E13" w:rsidRPr="00A67E13" w:rsidRDefault="00A67E13" w:rsidP="00A67E13">
      <w:pPr>
        <w:rPr>
          <w:sz w:val="24"/>
          <w:szCs w:val="24"/>
        </w:rPr>
      </w:pPr>
      <w:r w:rsidRPr="00A67E13">
        <w:rPr>
          <w:rFonts w:eastAsia="SimSun"/>
          <w:b/>
          <w:bCs/>
          <w:color w:val="4472C4"/>
          <w:sz w:val="24"/>
          <w:szCs w:val="24"/>
        </w:rPr>
        <w:t xml:space="preserve">     56-200   G ó r a</w:t>
      </w:r>
      <w:r w:rsidRPr="00A67E13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                            </w:t>
      </w:r>
      <w:r w:rsidRPr="00A67E13">
        <w:rPr>
          <w:rFonts w:eastAsia="SimSun"/>
          <w:bCs/>
          <w:sz w:val="24"/>
          <w:szCs w:val="24"/>
        </w:rPr>
        <w:t>Góra, dnia 14 stycznia 2022 r.</w:t>
      </w:r>
      <w:r w:rsidRPr="00A67E13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</w:t>
      </w:r>
      <w:r w:rsidRPr="00A67E13">
        <w:rPr>
          <w:rFonts w:ascii="ITC Bookman Demi" w:hAnsi="ITC Bookman Demi" w:cs="Tahoma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6A9FE102" w14:textId="77777777" w:rsidR="00A67E13" w:rsidRPr="00A67E13" w:rsidRDefault="00A67E13" w:rsidP="00A67E13">
      <w:pPr>
        <w:rPr>
          <w:sz w:val="24"/>
          <w:szCs w:val="24"/>
        </w:rPr>
      </w:pPr>
    </w:p>
    <w:p w14:paraId="1287FCE5" w14:textId="77777777" w:rsidR="00A67E13" w:rsidRPr="00A67E13" w:rsidRDefault="00A67E13" w:rsidP="00A67E13">
      <w:pPr>
        <w:spacing w:line="360" w:lineRule="auto"/>
        <w:rPr>
          <w:sz w:val="24"/>
          <w:szCs w:val="24"/>
        </w:rPr>
      </w:pPr>
      <w:r w:rsidRPr="00A67E13">
        <w:rPr>
          <w:sz w:val="24"/>
          <w:szCs w:val="24"/>
        </w:rPr>
        <w:t xml:space="preserve">   GN.6840.39.2020</w:t>
      </w:r>
    </w:p>
    <w:p w14:paraId="05FD97A4" w14:textId="77777777" w:rsidR="00A67E13" w:rsidRPr="00A67E13" w:rsidRDefault="00A67E13" w:rsidP="00A67E13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</w:p>
    <w:p w14:paraId="6CAF15C3" w14:textId="77777777" w:rsidR="00A67E13" w:rsidRPr="00A67E13" w:rsidRDefault="00A67E13" w:rsidP="00A67E13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A67E13">
        <w:rPr>
          <w:b/>
          <w:bCs/>
          <w:sz w:val="32"/>
          <w:szCs w:val="32"/>
          <w:u w:val="single"/>
        </w:rPr>
        <w:t xml:space="preserve">W Y K A Z </w:t>
      </w:r>
    </w:p>
    <w:p w14:paraId="13E2D9F8" w14:textId="77777777" w:rsidR="00A67E13" w:rsidRPr="00A67E13" w:rsidRDefault="00A67E13" w:rsidP="00A67E13">
      <w:pPr>
        <w:jc w:val="center"/>
        <w:rPr>
          <w:b/>
          <w:bCs/>
          <w:sz w:val="24"/>
          <w:szCs w:val="24"/>
          <w:u w:val="single"/>
        </w:rPr>
      </w:pPr>
    </w:p>
    <w:p w14:paraId="00D0C9F4" w14:textId="77777777" w:rsidR="00A67E13" w:rsidRPr="00A67E13" w:rsidRDefault="00A67E13" w:rsidP="00A67E13">
      <w:pPr>
        <w:jc w:val="center"/>
        <w:rPr>
          <w:b/>
          <w:bCs/>
          <w:sz w:val="28"/>
          <w:szCs w:val="28"/>
        </w:rPr>
      </w:pPr>
      <w:r w:rsidRPr="00A67E13">
        <w:rPr>
          <w:b/>
          <w:bCs/>
          <w:sz w:val="28"/>
          <w:szCs w:val="28"/>
        </w:rPr>
        <w:t xml:space="preserve">nieruchomości lokalowej przeznaczonej do sprzedaży </w:t>
      </w:r>
    </w:p>
    <w:p w14:paraId="64E0345C" w14:textId="77777777" w:rsidR="00A67E13" w:rsidRPr="00A67E13" w:rsidRDefault="00A67E13" w:rsidP="00A67E13">
      <w:pPr>
        <w:jc w:val="center"/>
        <w:rPr>
          <w:b/>
          <w:bCs/>
          <w:sz w:val="28"/>
          <w:szCs w:val="28"/>
        </w:rPr>
      </w:pPr>
      <w:r w:rsidRPr="00A67E13">
        <w:rPr>
          <w:b/>
          <w:bCs/>
          <w:sz w:val="28"/>
          <w:szCs w:val="28"/>
        </w:rPr>
        <w:t>w trybie przetargu ustnego ograniczonego</w:t>
      </w:r>
    </w:p>
    <w:p w14:paraId="08459966" w14:textId="77777777" w:rsidR="00A67E13" w:rsidRPr="00A67E13" w:rsidRDefault="00A67E13" w:rsidP="00A67E13">
      <w:pPr>
        <w:jc w:val="both"/>
        <w:rPr>
          <w:b/>
          <w:bCs/>
          <w:sz w:val="24"/>
          <w:szCs w:val="24"/>
        </w:rPr>
      </w:pPr>
    </w:p>
    <w:p w14:paraId="711A932D" w14:textId="77777777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sz w:val="24"/>
          <w:szCs w:val="24"/>
        </w:rPr>
        <w:t xml:space="preserve">       Na podstawie art. 35 ust.1 i 2 ustawy z dnia 21 sierpnia 1997 r. o gospodarce nieruchomościami (Dz.U. z 2021 r., poz. 1899 z późniejszymi zmianami) </w:t>
      </w:r>
      <w:r w:rsidRPr="00A67E13">
        <w:rPr>
          <w:b/>
          <w:sz w:val="24"/>
          <w:szCs w:val="24"/>
        </w:rPr>
        <w:t>Burmistrz</w:t>
      </w:r>
      <w:r w:rsidRPr="00A67E13">
        <w:rPr>
          <w:b/>
          <w:bCs/>
          <w:sz w:val="24"/>
          <w:szCs w:val="24"/>
        </w:rPr>
        <w:t xml:space="preserve"> Góry</w:t>
      </w:r>
      <w:r w:rsidRPr="00A67E13">
        <w:rPr>
          <w:sz w:val="24"/>
          <w:szCs w:val="24"/>
        </w:rPr>
        <w:t xml:space="preserve"> podaje do publicznej wiadomości </w:t>
      </w:r>
      <w:r w:rsidRPr="00A67E13">
        <w:rPr>
          <w:b/>
          <w:bCs/>
          <w:sz w:val="24"/>
          <w:szCs w:val="24"/>
        </w:rPr>
        <w:t>wykaz nieruchomości lokalowej przeznaczonej                               do sprzedaży w trybie przetargu ustnego ograniczonego:</w:t>
      </w:r>
    </w:p>
    <w:p w14:paraId="238D1D3C" w14:textId="77777777" w:rsidR="00A67E13" w:rsidRPr="00A67E13" w:rsidRDefault="00A67E13" w:rsidP="00A67E13">
      <w:pPr>
        <w:jc w:val="both"/>
        <w:rPr>
          <w:b/>
          <w:bCs/>
          <w:sz w:val="24"/>
          <w:szCs w:val="24"/>
        </w:rPr>
      </w:pPr>
    </w:p>
    <w:p w14:paraId="77A7523F" w14:textId="77777777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sz w:val="24"/>
          <w:szCs w:val="24"/>
        </w:rPr>
        <w:t xml:space="preserve">1. Nieruchomość zabudowana budynkiem użytkowym - garażowym, położonym w Górze przy ul. Mickiewicza, na działce nr 1032/14 o powierzchni 0,0042 ha.   </w:t>
      </w:r>
      <w:r w:rsidRPr="00A67E13">
        <w:rPr>
          <w:b/>
          <w:sz w:val="24"/>
          <w:szCs w:val="24"/>
        </w:rPr>
        <w:t>Sprzedaży podlega</w:t>
      </w:r>
      <w:r w:rsidRPr="00A67E13">
        <w:rPr>
          <w:sz w:val="24"/>
          <w:szCs w:val="24"/>
        </w:rPr>
        <w:t xml:space="preserve"> </w:t>
      </w:r>
      <w:r w:rsidRPr="00A67E13">
        <w:rPr>
          <w:b/>
          <w:bCs/>
          <w:sz w:val="24"/>
          <w:szCs w:val="24"/>
        </w:rPr>
        <w:t>lokal niemieszkalny użytkowy – garaż o powierzchni użytkowej 13,50 m</w:t>
      </w:r>
      <w:r w:rsidRPr="00A67E13">
        <w:rPr>
          <w:b/>
          <w:bCs/>
          <w:sz w:val="24"/>
          <w:szCs w:val="24"/>
          <w:vertAlign w:val="superscript"/>
        </w:rPr>
        <w:t>2</w:t>
      </w:r>
      <w:r w:rsidRPr="00A67E13">
        <w:rPr>
          <w:b/>
          <w:bCs/>
          <w:sz w:val="24"/>
          <w:szCs w:val="24"/>
        </w:rPr>
        <w:t xml:space="preserve"> wraz                          z udziałem w „nieruchomości wspólnej”.</w:t>
      </w:r>
      <w:r w:rsidRPr="00A67E13">
        <w:rPr>
          <w:b/>
          <w:bCs/>
          <w:sz w:val="24"/>
          <w:szCs w:val="24"/>
          <w:vertAlign w:val="superscript"/>
        </w:rPr>
        <w:t xml:space="preserve"> </w:t>
      </w:r>
      <w:r w:rsidRPr="00A67E13">
        <w:rPr>
          <w:sz w:val="24"/>
          <w:szCs w:val="24"/>
        </w:rPr>
        <w:t>Budynek wykonany został w technologii tradycyjnej. Ściany zewnętrzne murowane z cegły ceramicznej. Ściany wewnętrzne z cegły ceramicznej pełnej. Budynek nieotynkowany. Posadzki betonowe, drzwi drewniane.</w:t>
      </w:r>
    </w:p>
    <w:p w14:paraId="690B37B7" w14:textId="77777777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b/>
          <w:bCs/>
          <w:sz w:val="24"/>
          <w:szCs w:val="24"/>
        </w:rPr>
        <w:t xml:space="preserve">2.  </w:t>
      </w:r>
      <w:r w:rsidRPr="00A67E13">
        <w:rPr>
          <w:sz w:val="24"/>
          <w:szCs w:val="24"/>
        </w:rPr>
        <w:t>Udział</w:t>
      </w:r>
      <w:r w:rsidRPr="00A67E13">
        <w:rPr>
          <w:b/>
          <w:bCs/>
          <w:sz w:val="24"/>
          <w:szCs w:val="24"/>
        </w:rPr>
        <w:t xml:space="preserve"> </w:t>
      </w:r>
      <w:r w:rsidRPr="00A67E13">
        <w:rPr>
          <w:sz w:val="24"/>
          <w:szCs w:val="24"/>
        </w:rPr>
        <w:t>w „nieruchomości wspólnej” wynosi  1530/3210.</w:t>
      </w:r>
    </w:p>
    <w:p w14:paraId="6E6558FF" w14:textId="2ABA938F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rFonts w:ascii="Bookman Old Style" w:hAnsi="Bookman Old Style"/>
          <w:noProof/>
          <w:sz w:val="24"/>
        </w:rPr>
        <w:drawing>
          <wp:anchor distT="0" distB="0" distL="114300" distR="114300" simplePos="0" relativeHeight="251659264" behindDoc="1" locked="0" layoutInCell="1" allowOverlap="1" wp14:anchorId="2170C8A2" wp14:editId="188468F1">
            <wp:simplePos x="0" y="0"/>
            <wp:positionH relativeFrom="column">
              <wp:posOffset>3453130</wp:posOffset>
            </wp:positionH>
            <wp:positionV relativeFrom="paragraph">
              <wp:posOffset>92075</wp:posOffset>
            </wp:positionV>
            <wp:extent cx="2305050" cy="1390650"/>
            <wp:effectExtent l="0" t="0" r="0" b="0"/>
            <wp:wrapTight wrapText="bothSides">
              <wp:wrapPolygon edited="0">
                <wp:start x="0" y="0"/>
                <wp:lineTo x="0" y="21304"/>
                <wp:lineTo x="21421" y="21304"/>
                <wp:lineTo x="21421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E13">
        <w:rPr>
          <w:b/>
          <w:bCs/>
          <w:sz w:val="24"/>
          <w:szCs w:val="24"/>
        </w:rPr>
        <w:t xml:space="preserve">3.  </w:t>
      </w:r>
      <w:r w:rsidRPr="00A67E13">
        <w:rPr>
          <w:sz w:val="24"/>
          <w:szCs w:val="24"/>
        </w:rPr>
        <w:t xml:space="preserve">Cena lokalu wraz z udziałem w „nieruchomości  wspólnej” wynosi </w:t>
      </w:r>
      <w:r w:rsidRPr="00A67E13">
        <w:rPr>
          <w:b/>
          <w:bCs/>
          <w:sz w:val="24"/>
          <w:szCs w:val="24"/>
        </w:rPr>
        <w:t xml:space="preserve"> 5.500,00 zł.</w:t>
      </w:r>
    </w:p>
    <w:p w14:paraId="41140F98" w14:textId="77777777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sz w:val="24"/>
          <w:szCs w:val="24"/>
        </w:rPr>
        <w:t>(słownie: pięć tysięcy pięćset złotych 00/100). Sprzedaż lokalu oraz udziału w „nieruchomości wspólnej” następuje na warunkach określonych w art. 43 ust.1, pkt 10 i art. 29 a ust.8 ustawy o podatku od towarów i usług ( Dz. U. z 2021 r., poz. 685 z późniejszymi zmianami) - podlega zwolnieniu od podatku VAT.</w:t>
      </w:r>
      <w:r w:rsidRPr="00A67E13">
        <w:rPr>
          <w:b/>
          <w:bCs/>
          <w:sz w:val="24"/>
          <w:szCs w:val="24"/>
        </w:rPr>
        <w:t xml:space="preserve"> </w:t>
      </w:r>
    </w:p>
    <w:p w14:paraId="39A715DB" w14:textId="77777777" w:rsidR="00A67E13" w:rsidRPr="00A67E13" w:rsidRDefault="00A67E13" w:rsidP="00A67E13">
      <w:pPr>
        <w:jc w:val="both"/>
        <w:rPr>
          <w:b/>
          <w:bCs/>
          <w:sz w:val="24"/>
          <w:szCs w:val="24"/>
        </w:rPr>
      </w:pPr>
      <w:r w:rsidRPr="00A67E13">
        <w:rPr>
          <w:b/>
          <w:bCs/>
          <w:sz w:val="24"/>
          <w:szCs w:val="24"/>
        </w:rPr>
        <w:t xml:space="preserve">4. </w:t>
      </w:r>
      <w:r w:rsidRPr="00A67E13">
        <w:rPr>
          <w:bCs/>
          <w:sz w:val="24"/>
          <w:szCs w:val="24"/>
        </w:rPr>
        <w:t>Nieruchomość znajduje się na obszarze określonym w miejscowym planie zagospodarowania przestrzennego, jako zabudowa mieszkaniowa wielorodzinna oraz garaże, usługi nieuciążliwe. Ścisła strefa „ A” ochrony konserwatorskiej.</w:t>
      </w:r>
    </w:p>
    <w:p w14:paraId="59FE5204" w14:textId="77777777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b/>
          <w:bCs/>
          <w:sz w:val="24"/>
          <w:szCs w:val="24"/>
        </w:rPr>
        <w:t xml:space="preserve">5. </w:t>
      </w:r>
      <w:r w:rsidRPr="00A67E13">
        <w:rPr>
          <w:sz w:val="24"/>
          <w:szCs w:val="24"/>
        </w:rPr>
        <w:t>Lokal niemieszkalny użytkowy – garaż podlega sprzedaży w trybie przetargu ustnego ograniczonego. Przetarg ogranicza się  do właścicieli nieruchomości znajdującej się na działce 1032/3 w Górze przy ul. Mickiewicza 2 z uwagi na brak dostępu do drogi publicznej.</w:t>
      </w:r>
    </w:p>
    <w:p w14:paraId="0C9D4D08" w14:textId="77777777" w:rsidR="00A67E13" w:rsidRPr="00A67E13" w:rsidRDefault="00A67E13" w:rsidP="00A67E13">
      <w:pPr>
        <w:jc w:val="both"/>
        <w:rPr>
          <w:sz w:val="24"/>
          <w:szCs w:val="24"/>
        </w:rPr>
      </w:pPr>
      <w:r w:rsidRPr="00A67E13">
        <w:rPr>
          <w:b/>
          <w:bCs/>
          <w:sz w:val="24"/>
          <w:szCs w:val="24"/>
        </w:rPr>
        <w:t>6.</w:t>
      </w:r>
      <w:r w:rsidRPr="00A67E13">
        <w:rPr>
          <w:sz w:val="24"/>
          <w:szCs w:val="24"/>
        </w:rPr>
        <w:t xml:space="preserve"> Zgodnie z art. 34 ust. 1 pkt 1 i 2 ustawy o gospodarce nieruchomościami prawo pierwszeństwa w nabyciu nieruchomości mają osoby, którym przysługuje roszczenie                   o nabycie lub są poprzednimi właścicielami zbywanej nieruchomości pozbawionymi prawa własności tej nieruchomości przed 5.12 1990 r. albo ich spadkobiercami, jeżeli złożą wniosek o ich nabycie w terminie do </w:t>
      </w:r>
      <w:r w:rsidRPr="00A67E13">
        <w:rPr>
          <w:bCs/>
          <w:sz w:val="24"/>
          <w:szCs w:val="24"/>
        </w:rPr>
        <w:t>dnia</w:t>
      </w:r>
      <w:r w:rsidRPr="00A67E13">
        <w:rPr>
          <w:b/>
          <w:bCs/>
          <w:sz w:val="24"/>
          <w:szCs w:val="24"/>
          <w:u w:val="single"/>
        </w:rPr>
        <w:t xml:space="preserve"> 4 marca 2022 r.</w:t>
      </w:r>
    </w:p>
    <w:p w14:paraId="09A0DCC3" w14:textId="77777777" w:rsidR="00A67E13" w:rsidRPr="00A67E13" w:rsidRDefault="00A67E13" w:rsidP="00A67E13">
      <w:pPr>
        <w:jc w:val="right"/>
        <w:rPr>
          <w:rFonts w:ascii="Arial" w:hAnsi="Arial" w:cs="Arial"/>
          <w:sz w:val="24"/>
        </w:rPr>
      </w:pPr>
    </w:p>
    <w:p w14:paraId="7B41E8CC" w14:textId="77777777" w:rsidR="00A67E13" w:rsidRPr="00A67E13" w:rsidRDefault="00A67E13" w:rsidP="00A67E13">
      <w:pPr>
        <w:rPr>
          <w:rFonts w:ascii="Tahoma" w:hAnsi="Tahoma" w:cs="David"/>
          <w:b/>
          <w:sz w:val="32"/>
          <w:szCs w:val="32"/>
        </w:rPr>
      </w:pPr>
    </w:p>
    <w:p w14:paraId="59D9E078" w14:textId="77777777" w:rsidR="00275256" w:rsidRDefault="00275256"/>
    <w:sectPr w:rsidR="00275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90"/>
    <w:rsid w:val="00275256"/>
    <w:rsid w:val="004F11C2"/>
    <w:rsid w:val="00607EBE"/>
    <w:rsid w:val="00850E90"/>
    <w:rsid w:val="00A67E13"/>
    <w:rsid w:val="00B7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B146B-C08E-49BB-B5AE-ED3CC5621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2D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72D9A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B72D9A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B72D9A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72D9A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5</cp:revision>
  <dcterms:created xsi:type="dcterms:W3CDTF">2021-07-23T08:44:00Z</dcterms:created>
  <dcterms:modified xsi:type="dcterms:W3CDTF">2022-01-20T06:34:00Z</dcterms:modified>
</cp:coreProperties>
</file>