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F0FC3" w14:textId="77777777" w:rsidR="00100B7C" w:rsidRPr="00100B7C" w:rsidRDefault="00100B7C" w:rsidP="00100B7C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r w:rsidRPr="00100B7C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</w:p>
    <w:p w14:paraId="6CCC8FA5" w14:textId="77777777" w:rsidR="00100B7C" w:rsidRPr="00100B7C" w:rsidRDefault="00100B7C" w:rsidP="00100B7C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100B7C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>ul. Adama Mickiewicza 1</w:t>
      </w:r>
    </w:p>
    <w:p w14:paraId="7EAF9BC2" w14:textId="77777777" w:rsidR="00100B7C" w:rsidRPr="00100B7C" w:rsidRDefault="00100B7C" w:rsidP="00100B7C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100B7C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31F75431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bCs/>
          <w:iCs/>
          <w:sz w:val="22"/>
          <w:szCs w:val="24"/>
          <w:lang w:eastAsia="pl-PL"/>
        </w:rPr>
      </w:pPr>
    </w:p>
    <w:p w14:paraId="7865B93C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Cs/>
          <w:iCs/>
          <w:sz w:val="22"/>
          <w:szCs w:val="24"/>
          <w:lang w:eastAsia="pl-PL"/>
        </w:rPr>
        <w:t>GN.6840.33.2019</w:t>
      </w:r>
      <w:r w:rsidRPr="00100B7C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lang w:eastAsia="pl-PL"/>
        </w:rPr>
        <w:t xml:space="preserve">     </w:t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ab/>
        <w:t xml:space="preserve">                          Góra, dnia 20 października 2021 r.</w:t>
      </w:r>
    </w:p>
    <w:p w14:paraId="7180200A" w14:textId="77777777" w:rsidR="00100B7C" w:rsidRPr="00100B7C" w:rsidRDefault="00100B7C" w:rsidP="00100B7C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t>OGŁOSZENIE O PRZETARGU</w:t>
      </w:r>
    </w:p>
    <w:p w14:paraId="5B5A198A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Na podstawie art. 38 ust. 1 i 2 ustawy z dnia 21 sierpnia 1997 r. o gospodarce nieruchomościami </w:t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>(Dz. U. z 2020 r. poz. 1990 ze zm.) i Rozporządzenia Rady Ministrów z dnia 14 września 2004 r. w sprawie sposobu i trybu przeprowadzania przetargów oraz rokowań na zbycie nieruchomości (Dz. U. z 2014 r. poz.  1490 ze zm.)</w:t>
      </w:r>
    </w:p>
    <w:p w14:paraId="2A92B15B" w14:textId="77777777" w:rsidR="00100B7C" w:rsidRPr="00100B7C" w:rsidRDefault="00100B7C" w:rsidP="00100B7C">
      <w:pPr>
        <w:keepNext/>
        <w:spacing w:after="0" w:line="240" w:lineRule="auto"/>
        <w:jc w:val="center"/>
        <w:outlineLvl w:val="3"/>
        <w:rPr>
          <w:rFonts w:ascii="Arial Narrow" w:eastAsia="Times New Roman" w:hAnsi="Arial Narrow" w:cs="Times New Roman"/>
          <w:b/>
          <w:bCs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Cs w:val="24"/>
          <w:lang w:eastAsia="pl-PL"/>
        </w:rPr>
        <w:t xml:space="preserve"> </w:t>
      </w:r>
    </w:p>
    <w:p w14:paraId="58AAAAF3" w14:textId="77777777" w:rsidR="00100B7C" w:rsidRPr="00100B7C" w:rsidRDefault="00100B7C" w:rsidP="00100B7C">
      <w:pPr>
        <w:keepNext/>
        <w:spacing w:after="0" w:line="240" w:lineRule="auto"/>
        <w:jc w:val="center"/>
        <w:outlineLvl w:val="3"/>
        <w:rPr>
          <w:rFonts w:ascii="Arial Narrow" w:eastAsia="Times New Roman" w:hAnsi="Arial Narrow" w:cs="Times New Roman"/>
          <w:b/>
          <w:bCs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Cs w:val="24"/>
          <w:lang w:eastAsia="pl-PL"/>
        </w:rPr>
        <w:t>BURMISTRZ GÓRY OGŁASZA</w:t>
      </w:r>
    </w:p>
    <w:p w14:paraId="266D23A4" w14:textId="77777777" w:rsidR="00100B7C" w:rsidRPr="00100B7C" w:rsidRDefault="00100B7C" w:rsidP="00100B7C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Cs w:val="24"/>
          <w:lang w:eastAsia="pl-PL"/>
        </w:rPr>
        <w:t>I NIEOGRANICZONY PRZETARG USTNY</w:t>
      </w:r>
    </w:p>
    <w:p w14:paraId="43FD0B9E" w14:textId="77777777" w:rsidR="00100B7C" w:rsidRPr="00100B7C" w:rsidRDefault="00100B7C" w:rsidP="00100B7C">
      <w:pPr>
        <w:spacing w:after="0" w:line="240" w:lineRule="auto"/>
        <w:jc w:val="center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Cs w:val="24"/>
          <w:lang w:eastAsia="pl-PL"/>
        </w:rPr>
        <w:t>na zbycie następującej nieruchomości</w:t>
      </w:r>
    </w:p>
    <w:p w14:paraId="5DB37959" w14:textId="77777777" w:rsidR="00100B7C" w:rsidRPr="00100B7C" w:rsidRDefault="00100B7C" w:rsidP="00100B7C">
      <w:pPr>
        <w:spacing w:after="0" w:line="240" w:lineRule="auto"/>
        <w:jc w:val="both"/>
        <w:rPr>
          <w:rFonts w:ascii="Arial" w:eastAsia="Times New Roman" w:hAnsi="Arial" w:cs="Arial"/>
          <w:szCs w:val="24"/>
          <w:lang w:eastAsia="pl-PL"/>
        </w:rPr>
      </w:pPr>
      <w:r w:rsidRPr="00100B7C">
        <w:rPr>
          <w:rFonts w:eastAsia="Times New Roman" w:cs="Times New Roman"/>
          <w:szCs w:val="24"/>
          <w:lang w:eastAsia="pl-PL"/>
        </w:rPr>
        <w:t xml:space="preserve">Nieruchomość rolna niezabudowana położona w obrębie </w:t>
      </w:r>
      <w:r w:rsidRPr="00100B7C">
        <w:rPr>
          <w:rFonts w:eastAsia="Times New Roman" w:cs="Arial"/>
          <w:b/>
          <w:bCs/>
          <w:szCs w:val="24"/>
          <w:lang w:eastAsia="pl-PL"/>
        </w:rPr>
        <w:t xml:space="preserve">miejscowości Ślubów, </w:t>
      </w:r>
      <w:r w:rsidRPr="00100B7C">
        <w:rPr>
          <w:rFonts w:eastAsia="Times New Roman" w:cs="Arial"/>
          <w:szCs w:val="24"/>
          <w:lang w:eastAsia="pl-PL"/>
        </w:rPr>
        <w:t xml:space="preserve">oznaczona </w:t>
      </w:r>
      <w:r w:rsidRPr="00100B7C">
        <w:rPr>
          <w:rFonts w:eastAsia="Times New Roman" w:cs="Arial"/>
          <w:szCs w:val="24"/>
          <w:lang w:eastAsia="pl-PL"/>
        </w:rPr>
        <w:br/>
        <w:t>w ewidencji gruntów jako działka nr</w:t>
      </w:r>
      <w:r w:rsidRPr="00100B7C">
        <w:rPr>
          <w:rFonts w:ascii="Arial" w:eastAsia="Times New Roman" w:hAnsi="Arial" w:cs="Arial"/>
          <w:szCs w:val="24"/>
          <w:lang w:eastAsia="pl-PL"/>
        </w:rPr>
        <w:t>:</w:t>
      </w:r>
    </w:p>
    <w:p w14:paraId="49433A13" w14:textId="14273D1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sz w:val="20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noProof/>
          <w:sz w:val="22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C91A6" wp14:editId="07EC6D3C">
                <wp:simplePos x="0" y="0"/>
                <wp:positionH relativeFrom="column">
                  <wp:posOffset>3643630</wp:posOffset>
                </wp:positionH>
                <wp:positionV relativeFrom="paragraph">
                  <wp:posOffset>250825</wp:posOffset>
                </wp:positionV>
                <wp:extent cx="2861310" cy="2425065"/>
                <wp:effectExtent l="9525" t="11430" r="5715" b="1143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1310" cy="2425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930B79" w14:textId="0E730A11" w:rsidR="00100B7C" w:rsidRDefault="00100B7C" w:rsidP="00100B7C">
                            <w:r w:rsidRPr="00C97862">
                              <w:rPr>
                                <w:noProof/>
                              </w:rPr>
                              <w:drawing>
                                <wp:inline distT="0" distB="0" distL="0" distR="0" wp14:anchorId="000C6533" wp14:editId="53FC3B12">
                                  <wp:extent cx="2667000" cy="2324100"/>
                                  <wp:effectExtent l="0" t="0" r="0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00" cy="2324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1C91A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86.9pt;margin-top:19.75pt;width:225.3pt;height:190.9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">
                <v:textbox style="mso-fit-shape-to-text:t">
                  <w:txbxContent>
                    <w:p w14:paraId="76930B79" w14:textId="0E730A11" w:rsidR="00100B7C" w:rsidRDefault="00100B7C" w:rsidP="00100B7C">
                      <w:r w:rsidRPr="00C97862">
                        <w:rPr>
                          <w:noProof/>
                        </w:rPr>
                        <w:drawing>
                          <wp:inline distT="0" distB="0" distL="0" distR="0" wp14:anchorId="000C6533" wp14:editId="53FC3B12">
                            <wp:extent cx="2667000" cy="2324100"/>
                            <wp:effectExtent l="0" t="0" r="0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00" cy="2324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- 78/2 o powierzchni całkowitej 0,3112 ha, sklasyfikowana jako: </w:t>
      </w:r>
      <w:proofErr w:type="spellStart"/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RIVb</w:t>
      </w:r>
      <w:proofErr w:type="spellEnd"/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(0,1273 ha), </w:t>
      </w:r>
      <w:proofErr w:type="spellStart"/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PsIV</w:t>
      </w:r>
      <w:proofErr w:type="spellEnd"/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(0,0717 ha), Br-</w:t>
      </w:r>
      <w:proofErr w:type="spellStart"/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PsIV</w:t>
      </w:r>
      <w:proofErr w:type="spellEnd"/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(0,1122 ha).</w:t>
      </w:r>
    </w:p>
    <w:p w14:paraId="3317D693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Działka zapisana jest w księdze wieczystej KW LE1G/00076226/4. </w:t>
      </w:r>
    </w:p>
    <w:p w14:paraId="348F9FEB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04F6BE09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Działka wolna jest od ciężarów, ograniczeń i hipotek.       </w:t>
      </w:r>
    </w:p>
    <w:p w14:paraId="08E51393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                                                      </w:t>
      </w:r>
    </w:p>
    <w:p w14:paraId="572C99A3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W Planie Zagospodarowania Przestrzennego Gminy Góry, </w:t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 xml:space="preserve">nieruchomość znajduje się w jednostce bilansowej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RM/5, 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br/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>dla której ustala się przeznaczenie na tereny zabudowy zagrodowej.</w:t>
      </w:r>
    </w:p>
    <w:p w14:paraId="650ED4A2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 </w:t>
      </w:r>
    </w:p>
    <w:p w14:paraId="05004391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u w:val="single"/>
          <w:lang w:eastAsia="pl-PL"/>
        </w:rPr>
        <w:t xml:space="preserve">Działka posiada dostęp do drogi. </w:t>
      </w:r>
      <w:r w:rsidRPr="00100B7C">
        <w:rPr>
          <w:rFonts w:ascii="Arial Narrow" w:eastAsia="Times New Roman" w:hAnsi="Arial Narrow" w:cs="Times New Roman"/>
          <w:sz w:val="22"/>
          <w:szCs w:val="24"/>
          <w:u w:val="single"/>
          <w:lang w:eastAsia="pl-PL"/>
        </w:rPr>
        <w:br/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>Przez nieruchomość przebiega linia energetyczna. Działka porośnięta</w:t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 xml:space="preserve"> jest częściowo drzewami i krzewami samosiejkami. Rejon lokalizacji </w:t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>nieruchomości nieuzbrojony.</w:t>
      </w:r>
    </w:p>
    <w:p w14:paraId="762CB6B0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2C6973CD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  <w:t xml:space="preserve">Termin złożenia wniosku przez osoby, którym przysługuje prawo </w:t>
      </w:r>
      <w:r w:rsidRPr="00100B7C"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  <w:br/>
        <w:t xml:space="preserve">pierwszeństwa w nabyciu przedmiotowej nieruchomości minął w dniu </w:t>
      </w:r>
      <w:r w:rsidRPr="00100B7C"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  <w:br/>
        <w:t>7 października 2021 r.</w:t>
      </w:r>
    </w:p>
    <w:p w14:paraId="648C4EAC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</w:pPr>
    </w:p>
    <w:p w14:paraId="75B2F618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Szczegółowe informacje na temat nieruchomości można uzyskać w Urzędzie Miasta i Gminy w Górze, ul. Adama Mickiewicza 1, w Wydziale Gospodarki Nieruchomościami i Spraw Komunalnych  - pokój 108, tel. 65 544 36 31. </w:t>
      </w:r>
    </w:p>
    <w:p w14:paraId="6D980036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7B4CFD71" w14:textId="77777777" w:rsidR="00100B7C" w:rsidRPr="00100B7C" w:rsidRDefault="00100B7C" w:rsidP="00100B7C">
      <w:pPr>
        <w:spacing w:after="0" w:line="240" w:lineRule="auto"/>
        <w:rPr>
          <w:rFonts w:ascii="Arial Narrow" w:eastAsia="Times New Roman" w:hAnsi="Arial Narrow" w:cs="Times New Roman"/>
          <w:sz w:val="20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i/>
          <w:iCs/>
          <w:szCs w:val="24"/>
          <w:u w:val="single"/>
          <w:lang w:eastAsia="pl-PL"/>
        </w:rPr>
        <w:t xml:space="preserve">Cena wywoławcza nieruchomości ustalona została na kwotę 61.000,00 zł </w:t>
      </w:r>
      <w:r w:rsidRPr="00100B7C">
        <w:rPr>
          <w:rFonts w:ascii="Arial Narrow" w:eastAsia="Times New Roman" w:hAnsi="Arial Narrow" w:cs="Times New Roman"/>
          <w:b/>
          <w:bCs/>
          <w:i/>
          <w:iCs/>
          <w:szCs w:val="24"/>
          <w:u w:val="single"/>
          <w:lang w:eastAsia="pl-PL"/>
        </w:rPr>
        <w:br/>
      </w:r>
      <w:r w:rsidRPr="00100B7C">
        <w:rPr>
          <w:rFonts w:ascii="Arial Narrow" w:eastAsia="Times New Roman" w:hAnsi="Arial Narrow" w:cs="Times New Roman"/>
          <w:sz w:val="20"/>
          <w:szCs w:val="24"/>
          <w:lang w:eastAsia="pl-PL"/>
        </w:rPr>
        <w:t>Do ceny nieruchomości osiągniętej w wyniku przetargu zostanie doliczony 23% podatek VAT zgodnie z ustawą z dnia                     11 marca 2004 r. o podatku od towarów i usług (Dz. U. z 2021 r. poz. 685 ze zm.).</w:t>
      </w:r>
    </w:p>
    <w:p w14:paraId="53A3D28F" w14:textId="77777777" w:rsidR="00100B7C" w:rsidRPr="00100B7C" w:rsidRDefault="00100B7C" w:rsidP="00100B7C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</w:p>
    <w:p w14:paraId="4ED19130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lang w:eastAsia="pl-PL"/>
        </w:rPr>
        <w:t>PRZETARG ODBĘDZIE SIĘ W DNIU 8 GRUDNIA 2021 R. O GODZ. 9</w:t>
      </w:r>
      <w:r w:rsidRPr="00100B7C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vertAlign w:val="superscript"/>
          <w:lang w:eastAsia="pl-PL"/>
        </w:rPr>
        <w:t xml:space="preserve">30 </w:t>
      </w:r>
      <w:r w:rsidRPr="00100B7C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lang w:eastAsia="pl-PL"/>
        </w:rPr>
        <w:t xml:space="preserve"> W POK. 108 , W SIEDZIBIE URZĘDU MIASTA I GMINY W GÓRZE.</w:t>
      </w:r>
    </w:p>
    <w:p w14:paraId="58BBC517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Wadium w kwocie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t xml:space="preserve">6.100,00 zł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(słownie: sześć tysięcy sto złotych 00/100) należy wpłacić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t xml:space="preserve">najpóźniej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br/>
        <w:t>do dnia 2 grudnia 2021 r.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w kasie Urzędu Miasta i Gminy w Górze – pokój 24 bądź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br/>
        <w:t xml:space="preserve">na konto Urzędu – </w:t>
      </w:r>
      <w:r w:rsidRPr="00100B7C">
        <w:rPr>
          <w:rFonts w:eastAsia="Times New Roman" w:cs="Times New Roman"/>
          <w:b/>
          <w:bCs/>
          <w:sz w:val="23"/>
          <w:szCs w:val="24"/>
          <w:lang w:eastAsia="pl-PL"/>
        </w:rPr>
        <w:t>PKO BP S.A. nr 45 1020 5226 0000 6202 0497 0226</w:t>
      </w:r>
      <w:r w:rsidRPr="00100B7C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z dopiskiem: „Przetarg </w:t>
      </w: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br/>
        <w:t>na działkę nr 78/2”. Data wniesienia wadium jest data uznania rachunku bankowego Gminy.</w:t>
      </w:r>
    </w:p>
    <w:p w14:paraId="3684D75A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Wysokość postąpienia zależy od uczestników przetargu, z tym, że nie może być niższe niż 1% ceny wywoławczej nieruchomości, z zaokrągleniem w górę do pełnych dziesiątek złotych. </w:t>
      </w:r>
    </w:p>
    <w:p w14:paraId="214662ED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</w:p>
    <w:p w14:paraId="244DDFA9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szCs w:val="24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iCs/>
          <w:szCs w:val="24"/>
          <w:u w:val="single"/>
          <w:lang w:eastAsia="pl-PL"/>
        </w:rPr>
        <w:t xml:space="preserve">W dniu 26 czerwca 2019 r. nowelizacja ustawy z dnia 11 kwietnia 2003 r. o kształtowaniu ustroju rolnego, wprowadziła zmianę, zgodnie z którą, w przypadku sprzedaży nieruchomości rolnej prawo pierwokupu przysługuje - Krajowemu Ośrodkowi Wsparcia Rolnictwa. </w:t>
      </w:r>
    </w:p>
    <w:p w14:paraId="5A8A2DC2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lastRenderedPageBreak/>
        <w:t>W związku z powyższym  - strony transakcji (tj. Gmina Góra i kandydat na nabywcę) zawierają warunkową umowę sprzedaży, która niezwłocznie przesyłana jest do oddziału KOWR, właściwego ze względu                         na miejsce położenia nieruchomości.</w:t>
      </w:r>
    </w:p>
    <w:p w14:paraId="0A72B572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</w:pPr>
      <w:r w:rsidRPr="00100B7C">
        <w:rPr>
          <w:rFonts w:ascii="Arial Narrow" w:eastAsia="Times New Roman" w:hAnsi="Arial Narrow" w:cs="Times New Roman"/>
          <w:iCs/>
          <w:sz w:val="22"/>
          <w:lang w:eastAsia="pl-PL"/>
        </w:rPr>
        <w:t xml:space="preserve">Prawo pierwokupu nieruchomości rolnej KOWR wykonuje w ciągu miesiąca od otrzymania zawiadomienia                        o treści zawartej warunkowej umowy sprzedaży. Niezłożenie w powyższym terminie przez KOWR oświadczenia lub pisemne poinformowanie o nieskorzystaniu z prawa pierwokupu  - </w:t>
      </w:r>
      <w:r w:rsidRPr="00100B7C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t>oznacza możliwość zawarcia przez w/w strony docelowej umowy przenoszącej własność nieruchomości.</w:t>
      </w:r>
    </w:p>
    <w:p w14:paraId="6DA78A1D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szCs w:val="24"/>
          <w:u w:val="single"/>
          <w:lang w:eastAsia="pl-PL"/>
        </w:rPr>
      </w:pPr>
    </w:p>
    <w:p w14:paraId="4F6A611D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sz w:val="22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iCs/>
          <w:sz w:val="22"/>
          <w:u w:val="single"/>
          <w:lang w:eastAsia="pl-PL"/>
        </w:rPr>
        <w:t>Prawo pierwokupu nie przysługuje KOWR m.in. jeżeli:</w:t>
      </w:r>
    </w:p>
    <w:p w14:paraId="3F1C62A3" w14:textId="77777777" w:rsidR="00100B7C" w:rsidRPr="00100B7C" w:rsidRDefault="00100B7C" w:rsidP="00100B7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i/>
          <w:sz w:val="22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t>Nabywcą nieruchomości rolnej jest:</w:t>
      </w:r>
      <w:r w:rsidRPr="00100B7C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br/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t xml:space="preserve">- rolnik indywidualny i w wyniku nabycia następuje powiększenie gospodarstwa rodzinnego 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br/>
        <w:t>do powierzchni nie większej niż 300 ha użytków rolnych, a nabywana nieruchomość rolna położona jest w gminie, w której ma miejsce zamieszkania nabywca, lub w gminie graniczącej z ta gminą,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br/>
        <w:t>- osoba bliska zbywcy,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br/>
        <w:t>- jednostka samorządu terytorialnego,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br/>
        <w:t>- Skarb Państwa,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br/>
        <w:t>Spółka Celowa, o której mowa w ustawie z dnia 10 maja 2018 r. o Centralnym Porcie Komunikacyjnym,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br/>
        <w:t>- spółdzielnia produkcji rolnej, nabywająca wkład gruntowy od członka tej spółdzielni lub nabywająca nieruchomość rolną w wykonaniu prawa pierwokupu,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br/>
        <w:t>- członek spółdzielni produkcji rolnej – nabywający wkład gruntowy od innego członka tej samej spółdzielni.</w:t>
      </w:r>
    </w:p>
    <w:p w14:paraId="3F00DD88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eastAsia="Times New Roman" w:hAnsi="Arial Narrow" w:cs="Times New Roman"/>
          <w:i/>
          <w:sz w:val="22"/>
          <w:lang w:eastAsia="pl-PL"/>
        </w:rPr>
      </w:pP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t xml:space="preserve">2.   </w:t>
      </w:r>
      <w:r w:rsidRPr="00100B7C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t>Nabycie następuje za zgodą Dyrektora Generalnego KOWR, wyrażoną w drodze decyzji administracyjnej, o której mowa w art. 2a ust. 4 ustawy o kształtowaniu ustroju rolnego</w:t>
      </w: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t xml:space="preserve"> albo za zgodą, o której mowa w art. 29 a ust. 3 pkt 1 lit. b ustawy o gospodarowaniu nieruchomościami rolnymi Skarbu Państwa.</w:t>
      </w:r>
    </w:p>
    <w:p w14:paraId="1F3F8DD7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eastAsia="Times New Roman" w:hAnsi="Arial Narrow" w:cs="Times New Roman"/>
          <w:b/>
          <w:bCs/>
          <w:iCs/>
          <w:sz w:val="22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iCs/>
          <w:sz w:val="22"/>
          <w:u w:val="single"/>
          <w:lang w:eastAsia="pl-PL"/>
        </w:rPr>
        <w:t>Nabycie nieruchomości rolnej o powierzchni mniejszej niż 1 ha – nie wymaga uzyskania zgody Dyrektora Generalnego Krajowego Ośrodka Wsparcia Rolnictwa.</w:t>
      </w:r>
    </w:p>
    <w:p w14:paraId="64312601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Arial Narrow" w:eastAsia="Times New Roman" w:hAnsi="Arial Narrow" w:cs="Times New Roman"/>
          <w:i/>
          <w:sz w:val="22"/>
          <w:lang w:eastAsia="pl-PL"/>
        </w:rPr>
      </w:pPr>
      <w:r w:rsidRPr="00100B7C">
        <w:rPr>
          <w:rFonts w:ascii="Arial Narrow" w:eastAsia="Times New Roman" w:hAnsi="Arial Narrow" w:cs="Times New Roman"/>
          <w:i/>
          <w:sz w:val="22"/>
          <w:lang w:eastAsia="pl-PL"/>
        </w:rPr>
        <w:t xml:space="preserve">3.  Sprzedaż następuje między osobami prawnymi, działającymi na podstawie przepisów o stosunku Państwa do Kościoła Katolickiego w Rzeczpospolitej Polskiej. </w:t>
      </w:r>
    </w:p>
    <w:p w14:paraId="4C8BD758" w14:textId="77777777" w:rsidR="00100B7C" w:rsidRPr="00100B7C" w:rsidRDefault="00100B7C" w:rsidP="00100B7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szCs w:val="24"/>
          <w:u w:val="single"/>
          <w:lang w:eastAsia="pl-PL"/>
        </w:rPr>
      </w:pPr>
    </w:p>
    <w:p w14:paraId="2BD122C9" w14:textId="77777777" w:rsidR="00100B7C" w:rsidRPr="00100B7C" w:rsidRDefault="00100B7C" w:rsidP="00100B7C">
      <w:pPr>
        <w:spacing w:after="0" w:line="276" w:lineRule="auto"/>
        <w:jc w:val="both"/>
        <w:rPr>
          <w:rFonts w:ascii="Arial Narrow" w:eastAsia="Arial Unicode MS" w:hAnsi="Arial Narrow" w:cs="Times New Roman"/>
          <w:bCs/>
          <w:sz w:val="22"/>
          <w:szCs w:val="24"/>
          <w:lang w:eastAsia="pl-PL"/>
        </w:rPr>
      </w:pPr>
      <w:r w:rsidRPr="00100B7C">
        <w:rPr>
          <w:rFonts w:ascii="Arial Narrow" w:eastAsia="Arial Unicode MS" w:hAnsi="Arial Narrow" w:cs="Times New Roman"/>
          <w:bCs/>
          <w:sz w:val="22"/>
          <w:szCs w:val="24"/>
          <w:lang w:eastAsia="pl-PL"/>
        </w:rPr>
        <w:t xml:space="preserve">W rozumieniu przepisów ustawy o kształtowaniu ustroju rolnego </w:t>
      </w:r>
      <w:r w:rsidRPr="00100B7C">
        <w:rPr>
          <w:rFonts w:ascii="Arial Narrow" w:eastAsia="Arial Unicode MS" w:hAnsi="Arial Narrow" w:cs="Times New Roman"/>
          <w:b/>
          <w:bCs/>
          <w:sz w:val="22"/>
          <w:szCs w:val="24"/>
          <w:u w:val="single"/>
          <w:lang w:eastAsia="pl-PL"/>
        </w:rPr>
        <w:t>za rolnika indywidualnego</w:t>
      </w:r>
      <w:r w:rsidRPr="00100B7C">
        <w:rPr>
          <w:rFonts w:ascii="Arial Narrow" w:eastAsia="Arial Unicode MS" w:hAnsi="Arial Narrow" w:cs="Times New Roman"/>
          <w:bCs/>
          <w:sz w:val="22"/>
          <w:szCs w:val="24"/>
          <w:lang w:eastAsia="pl-PL"/>
        </w:rPr>
        <w:t xml:space="preserve"> uważa się osobę fizyczną będącą właścicielem, użytkownikiem wieczystym, samoistnym posiadaczem lub dzierżawcą nieruchomości rolnych, których łączna powierzchnia użytków rolnych nie przekracza 300 ha, posiadającą kwalifikacje rolnicze oraz co najmniej od 5 lat zamieszkałą w gminie, na obszarze której jest położona jedna </w:t>
      </w:r>
      <w:r w:rsidRPr="00100B7C">
        <w:rPr>
          <w:rFonts w:ascii="Arial Narrow" w:eastAsia="Arial Unicode MS" w:hAnsi="Arial Narrow" w:cs="Times New Roman"/>
          <w:bCs/>
          <w:sz w:val="22"/>
          <w:szCs w:val="24"/>
          <w:lang w:eastAsia="pl-PL"/>
        </w:rPr>
        <w:br/>
        <w:t xml:space="preserve">z nieruchomości rolnych wchodzących w skład gospodarstwa rolnego i prowadząca przez ten okres osobiście </w:t>
      </w:r>
      <w:r w:rsidRPr="00100B7C">
        <w:rPr>
          <w:rFonts w:ascii="Arial Narrow" w:eastAsia="Arial Unicode MS" w:hAnsi="Arial Narrow" w:cs="Times New Roman"/>
          <w:bCs/>
          <w:sz w:val="22"/>
          <w:szCs w:val="24"/>
          <w:lang w:eastAsia="pl-PL"/>
        </w:rPr>
        <w:br/>
        <w:t>to gospodarstwo.</w:t>
      </w:r>
    </w:p>
    <w:p w14:paraId="11304E5E" w14:textId="77777777" w:rsidR="00100B7C" w:rsidRPr="00100B7C" w:rsidRDefault="00100B7C" w:rsidP="00100B7C">
      <w:pPr>
        <w:spacing w:after="0" w:line="276" w:lineRule="auto"/>
        <w:jc w:val="both"/>
        <w:rPr>
          <w:rFonts w:ascii="Arial Narrow" w:eastAsia="Arial Unicode MS" w:hAnsi="Arial Narrow" w:cs="Times New Roman"/>
          <w:i/>
          <w:iCs/>
          <w:sz w:val="22"/>
          <w:szCs w:val="24"/>
          <w:lang w:eastAsia="pl-PL"/>
        </w:rPr>
      </w:pPr>
      <w:r w:rsidRPr="00100B7C">
        <w:rPr>
          <w:rFonts w:ascii="Arial Narrow" w:eastAsia="Arial Unicode MS" w:hAnsi="Arial Narrow" w:cs="Times New Roman"/>
          <w:i/>
          <w:iCs/>
          <w:sz w:val="22"/>
          <w:szCs w:val="24"/>
          <w:lang w:eastAsia="pl-PL"/>
        </w:rPr>
        <w:t xml:space="preserve">Szczegółowe wymagania, obowiązki i kryteria, jakie powinien spełniać </w:t>
      </w:r>
      <w:r w:rsidRPr="00100B7C">
        <w:rPr>
          <w:rFonts w:ascii="Arial Narrow" w:eastAsia="Arial Unicode MS" w:hAnsi="Arial Narrow" w:cs="Times New Roman"/>
          <w:b/>
          <w:bCs/>
          <w:i/>
          <w:iCs/>
          <w:sz w:val="22"/>
          <w:szCs w:val="24"/>
          <w:lang w:eastAsia="pl-PL"/>
        </w:rPr>
        <w:t>rolnik indywidualny</w:t>
      </w:r>
      <w:r w:rsidRPr="00100B7C">
        <w:rPr>
          <w:rFonts w:ascii="Arial Narrow" w:eastAsia="Arial Unicode MS" w:hAnsi="Arial Narrow" w:cs="Times New Roman"/>
          <w:i/>
          <w:iCs/>
          <w:sz w:val="22"/>
          <w:szCs w:val="24"/>
          <w:lang w:eastAsia="pl-PL"/>
        </w:rPr>
        <w:t xml:space="preserve"> określają przepisy ustawy z dnia 11 kwietnia 2003 r. o kształtowaniu ustroju rolnego.</w:t>
      </w:r>
    </w:p>
    <w:p w14:paraId="053B1B5B" w14:textId="77777777" w:rsidR="00100B7C" w:rsidRPr="00100B7C" w:rsidRDefault="00100B7C" w:rsidP="00100B7C">
      <w:pPr>
        <w:spacing w:after="0" w:line="276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</w:p>
    <w:p w14:paraId="4795362B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sz w:val="18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18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424BEDBB" w14:textId="77777777" w:rsidR="00100B7C" w:rsidRPr="00100B7C" w:rsidRDefault="00100B7C" w:rsidP="00100B7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w przypadku osób fizycznych – </w:t>
      </w:r>
      <w:r w:rsidRPr="00100B7C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dowód tożsamości i oryginał dowodu wpłaty wadium,</w:t>
      </w:r>
    </w:p>
    <w:p w14:paraId="75EBFE2A" w14:textId="77777777" w:rsidR="00100B7C" w:rsidRPr="00100B7C" w:rsidRDefault="00100B7C" w:rsidP="00100B7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w przypadku osób prawnych – </w:t>
      </w:r>
      <w:r w:rsidRPr="00100B7C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aktualny wypis z rejestru, właściwe pełnomocnictwa, dowody tożsamości osób reprezentujących podmiot, oryginał dowodu wpłaty wadium,</w:t>
      </w:r>
    </w:p>
    <w:p w14:paraId="79828C49" w14:textId="77777777" w:rsidR="00100B7C" w:rsidRPr="00100B7C" w:rsidRDefault="00100B7C" w:rsidP="00100B7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pełnomocnicy osób fizycznych powinni zobowiązani są przedstawić </w:t>
      </w:r>
      <w:r w:rsidRPr="00100B7C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upoważnienie,</w:t>
      </w:r>
    </w:p>
    <w:p w14:paraId="204CD69D" w14:textId="77777777" w:rsidR="00100B7C" w:rsidRPr="00100B7C" w:rsidRDefault="00100B7C" w:rsidP="00100B7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 xml:space="preserve">w przypadku osób pozostających w związku małżeńskim posiadających ustawową wspólność małżeńską do udziału </w:t>
      </w:r>
      <w:r w:rsidRPr="00100B7C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br/>
        <w:t xml:space="preserve">w przetargu wymagana jest obecność obojga małżonków. W przypadku uczestnictwa w przetargu jednego małżonka należy złożyć do akt pisemne oświadczenie współmałżonka o wyrażeniu zgody na przystąpienie małżonka do przetargu z zamiarem nabycia nieruchomości będącej przedmiotem przetargu ze środków pochodzących z majątku wspólnego za cenę ustaloną </w:t>
      </w:r>
      <w:r w:rsidRPr="00100B7C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br/>
        <w:t>w przetargu</w:t>
      </w:r>
    </w:p>
    <w:p w14:paraId="3ED215E2" w14:textId="77777777" w:rsidR="00100B7C" w:rsidRPr="00100B7C" w:rsidRDefault="00100B7C" w:rsidP="00100B7C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u w:val="single"/>
          <w:lang w:eastAsia="pl-PL"/>
        </w:rPr>
      </w:pPr>
      <w:r w:rsidRPr="00100B7C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nabycie nieruchomości przez cudzoziemców może nastąpić po uzyskaniu </w:t>
      </w:r>
      <w:r w:rsidRPr="00100B7C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zezwolenia</w:t>
      </w:r>
      <w:r w:rsidRPr="00100B7C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 Ministra Spraw Wewnętrznych                                    i Administracji, jeżeli wymagają tego przepisy ustawy z dnia 24 marca 1920r. o nabywaniu nieruchomości przez cudzoziemców.</w:t>
      </w:r>
    </w:p>
    <w:p w14:paraId="1C9E5892" w14:textId="5CF8EF8C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Wadium wpłacone przez osobę, która wygra przetarg zostanie zaliczone na poczet ceny sprzedaży nieruchomości, a w przypadku uchylenia się przez tę osobę od zawarcia umowy notarialnej, wadium przepada </w:t>
      </w:r>
      <w:r>
        <w:rPr>
          <w:rFonts w:ascii="Arial Narrow" w:eastAsia="Times New Roman" w:hAnsi="Arial Narrow" w:cs="Times New Roman"/>
          <w:sz w:val="22"/>
          <w:szCs w:val="24"/>
          <w:lang w:eastAsia="pl-PL"/>
        </w:rPr>
        <w:t>n</w:t>
      </w:r>
      <w:r w:rsidRPr="00100B7C">
        <w:rPr>
          <w:rFonts w:ascii="Arial Narrow" w:eastAsia="Times New Roman" w:hAnsi="Arial Narrow" w:cs="Times New Roman"/>
          <w:sz w:val="22"/>
          <w:szCs w:val="24"/>
          <w:lang w:eastAsia="pl-PL"/>
        </w:rPr>
        <w:t>a rzecz sprzedającego. Pozostałym uczestnikom przetargu wpłacone wadium zwraca się w terminie trzech dni od daty zamknięcia przetargu. Cena nieruchomości sprzedawanej w drodze przetargu, pomniejszona o wpłacone wadium podlega zapłacie nie później niż do dnia zawarcia umowy sprzedaży</w:t>
      </w:r>
      <w:r w:rsidRPr="00100B7C">
        <w:rPr>
          <w:rFonts w:ascii="Arial Narrow" w:eastAsia="Times New Roman" w:hAnsi="Arial Narrow" w:cs="Times New Roman"/>
          <w:szCs w:val="24"/>
          <w:lang w:eastAsia="pl-PL"/>
        </w:rPr>
        <w:t>.</w:t>
      </w:r>
    </w:p>
    <w:p w14:paraId="01B887E0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100B7C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lastRenderedPageBreak/>
        <w:t>ORGANIZATOR PRZETARGU ZASTRZEGA SOBIE PRAWO ODWOŁANIA PRZETARGU TYLKO                              Z WAŻNYCH PRZYCZYN.</w:t>
      </w:r>
    </w:p>
    <w:p w14:paraId="1F413DA5" w14:textId="77777777" w:rsidR="00100B7C" w:rsidRPr="00100B7C" w:rsidRDefault="00100B7C" w:rsidP="00100B7C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</w:p>
    <w:p w14:paraId="24E6AF4C" w14:textId="77777777" w:rsidR="00100B7C" w:rsidRPr="00100B7C" w:rsidRDefault="00100B7C" w:rsidP="00100B7C">
      <w:pPr>
        <w:tabs>
          <w:tab w:val="left" w:pos="6675"/>
        </w:tabs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40DFC49C" w14:textId="77777777" w:rsidR="00100B7C" w:rsidRPr="00100B7C" w:rsidRDefault="00100B7C" w:rsidP="00100B7C">
      <w:pPr>
        <w:tabs>
          <w:tab w:val="left" w:pos="6675"/>
        </w:tabs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638671E1" w14:textId="77777777" w:rsidR="00100B7C" w:rsidRPr="00100B7C" w:rsidRDefault="00100B7C" w:rsidP="00100B7C">
      <w:pPr>
        <w:tabs>
          <w:tab w:val="left" w:pos="6675"/>
        </w:tabs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37CBC371" w14:textId="77777777" w:rsidR="00100B7C" w:rsidRPr="00100B7C" w:rsidRDefault="00100B7C" w:rsidP="00100B7C">
      <w:pPr>
        <w:tabs>
          <w:tab w:val="left" w:pos="6675"/>
        </w:tabs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679E9888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3B2FCB"/>
    <w:multiLevelType w:val="hybridMultilevel"/>
    <w:tmpl w:val="09F8E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E3"/>
    <w:rsid w:val="000C2CC6"/>
    <w:rsid w:val="000D72C6"/>
    <w:rsid w:val="00100B7C"/>
    <w:rsid w:val="00301FA4"/>
    <w:rsid w:val="00341780"/>
    <w:rsid w:val="00474874"/>
    <w:rsid w:val="0048641B"/>
    <w:rsid w:val="004928C5"/>
    <w:rsid w:val="004A4894"/>
    <w:rsid w:val="004D41E3"/>
    <w:rsid w:val="00562978"/>
    <w:rsid w:val="005B52E3"/>
    <w:rsid w:val="00697D0F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DA9D4"/>
  <w15:chartTrackingRefBased/>
  <w15:docId w15:val="{B818D1A0-25E2-48E7-96D6-6D5FBC9AB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1070</Words>
  <Characters>6424</Characters>
  <Application>Microsoft Office Word</Application>
  <DocSecurity>0</DocSecurity>
  <Lines>53</Lines>
  <Paragraphs>14</Paragraphs>
  <ScaleCrop>false</ScaleCrop>
  <Company/>
  <LinksUpToDate>false</LinksUpToDate>
  <CharactersWithSpaces>7480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2021-10-25T12:15:00Z</dcterms:created>
  <dcterms:modified xsi:type="dcterms:W3CDTF">2021-10-25T12:16:00Z</dcterms:modified>
</cp:coreProperties>
</file>