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256CDD" w14:textId="77777777" w:rsidR="00004BEA" w:rsidRPr="00004BEA" w:rsidRDefault="00004BEA" w:rsidP="00004BEA">
      <w:pPr>
        <w:jc w:val="both"/>
        <w:rPr>
          <w:b/>
          <w:bCs/>
          <w:sz w:val="24"/>
          <w:szCs w:val="24"/>
          <w:u w:val="single"/>
        </w:rPr>
      </w:pPr>
      <w:r w:rsidRPr="00004BEA">
        <w:rPr>
          <w:rFonts w:eastAsia="SimSun"/>
          <w:b/>
          <w:bCs/>
          <w:color w:val="4472C4"/>
          <w:sz w:val="28"/>
        </w:rPr>
        <w:t>BURMISTRZ GÓRY</w:t>
      </w:r>
    </w:p>
    <w:p w14:paraId="02CE2033" w14:textId="77777777" w:rsidR="00004BEA" w:rsidRPr="00004BEA" w:rsidRDefault="00004BEA" w:rsidP="00004BEA">
      <w:pPr>
        <w:rPr>
          <w:rFonts w:eastAsia="SimSun"/>
          <w:b/>
          <w:color w:val="4472C4"/>
          <w:sz w:val="24"/>
          <w:szCs w:val="24"/>
        </w:rPr>
      </w:pPr>
      <w:r w:rsidRPr="00004BEA">
        <w:rPr>
          <w:rFonts w:eastAsia="SimSun"/>
          <w:b/>
          <w:color w:val="4472C4"/>
          <w:sz w:val="24"/>
          <w:szCs w:val="24"/>
        </w:rPr>
        <w:t xml:space="preserve"> ul. Adama Mickiewicza</w:t>
      </w:r>
    </w:p>
    <w:p w14:paraId="38B5E3B3" w14:textId="77777777" w:rsidR="00004BEA" w:rsidRPr="00004BEA" w:rsidRDefault="00004BEA" w:rsidP="00004BEA">
      <w:pPr>
        <w:rPr>
          <w:sz w:val="22"/>
          <w:szCs w:val="22"/>
        </w:rPr>
      </w:pPr>
      <w:r w:rsidRPr="00004BEA">
        <w:rPr>
          <w:rFonts w:eastAsia="SimSun"/>
          <w:b/>
          <w:color w:val="4472C4"/>
          <w:sz w:val="24"/>
          <w:szCs w:val="24"/>
        </w:rPr>
        <w:t xml:space="preserve">     56-200   G ó r a</w:t>
      </w:r>
      <w:r w:rsidRPr="00004BEA">
        <w:rPr>
          <w:rFonts w:ascii="ITC Bookman Demi" w:eastAsia="SimSun" w:hAnsi="ITC Bookman Demi" w:cs="Tahoma"/>
          <w:b/>
          <w:bCs/>
          <w:color w:val="4472C4"/>
          <w:sz w:val="28"/>
          <w:szCs w:val="24"/>
        </w:rPr>
        <w:t xml:space="preserve">                                          </w:t>
      </w:r>
    </w:p>
    <w:p w14:paraId="34ED1316" w14:textId="77777777" w:rsidR="00004BEA" w:rsidRPr="00004BEA" w:rsidRDefault="00004BEA" w:rsidP="00004BEA">
      <w:pPr>
        <w:rPr>
          <w:sz w:val="24"/>
          <w:szCs w:val="24"/>
        </w:rPr>
      </w:pPr>
      <w:r w:rsidRPr="00004BEA">
        <w:rPr>
          <w:sz w:val="22"/>
          <w:szCs w:val="22"/>
        </w:rPr>
        <w:t xml:space="preserve">                                                                                                         </w:t>
      </w:r>
      <w:r w:rsidRPr="00004BEA">
        <w:rPr>
          <w:sz w:val="24"/>
          <w:szCs w:val="24"/>
        </w:rPr>
        <w:t>Góra, dnia 7 października 2021 r.</w:t>
      </w:r>
    </w:p>
    <w:p w14:paraId="0602014C" w14:textId="77777777" w:rsidR="00004BEA" w:rsidRPr="00004BEA" w:rsidRDefault="00004BEA" w:rsidP="00004BEA">
      <w:pPr>
        <w:jc w:val="right"/>
        <w:rPr>
          <w:sz w:val="24"/>
          <w:szCs w:val="24"/>
        </w:rPr>
      </w:pPr>
    </w:p>
    <w:p w14:paraId="15F86CF8" w14:textId="77777777" w:rsidR="00004BEA" w:rsidRPr="00004BEA" w:rsidRDefault="00004BEA" w:rsidP="00004BEA">
      <w:pPr>
        <w:rPr>
          <w:sz w:val="24"/>
          <w:szCs w:val="24"/>
        </w:rPr>
      </w:pPr>
      <w:r w:rsidRPr="00004BEA">
        <w:rPr>
          <w:sz w:val="24"/>
          <w:szCs w:val="24"/>
        </w:rPr>
        <w:t xml:space="preserve">   GN.6840.31.2021</w:t>
      </w:r>
    </w:p>
    <w:p w14:paraId="76792DF2" w14:textId="77777777" w:rsidR="00004BEA" w:rsidRPr="00004BEA" w:rsidRDefault="00004BEA" w:rsidP="00004BEA">
      <w:pPr>
        <w:keepNext/>
        <w:jc w:val="center"/>
        <w:outlineLvl w:val="3"/>
        <w:rPr>
          <w:b/>
          <w:bCs/>
          <w:sz w:val="32"/>
          <w:szCs w:val="32"/>
          <w:u w:val="single"/>
        </w:rPr>
      </w:pPr>
    </w:p>
    <w:p w14:paraId="21E4A489" w14:textId="77777777" w:rsidR="00004BEA" w:rsidRPr="00004BEA" w:rsidRDefault="00004BEA" w:rsidP="00004BEA">
      <w:pPr>
        <w:keepNext/>
        <w:jc w:val="center"/>
        <w:outlineLvl w:val="3"/>
        <w:rPr>
          <w:b/>
          <w:bCs/>
          <w:sz w:val="32"/>
          <w:szCs w:val="32"/>
          <w:u w:val="single"/>
        </w:rPr>
      </w:pPr>
      <w:r w:rsidRPr="00004BEA">
        <w:rPr>
          <w:b/>
          <w:bCs/>
          <w:sz w:val="32"/>
          <w:szCs w:val="32"/>
          <w:u w:val="single"/>
        </w:rPr>
        <w:t xml:space="preserve">W Y K A Z </w:t>
      </w:r>
    </w:p>
    <w:p w14:paraId="5B88ECEA" w14:textId="77777777" w:rsidR="00004BEA" w:rsidRPr="00004BEA" w:rsidRDefault="00004BEA" w:rsidP="00004BEA"/>
    <w:p w14:paraId="2EF5C259" w14:textId="77777777" w:rsidR="00004BEA" w:rsidRPr="00004BEA" w:rsidRDefault="00004BEA" w:rsidP="00004BEA">
      <w:pPr>
        <w:keepNext/>
        <w:jc w:val="center"/>
        <w:outlineLvl w:val="2"/>
        <w:rPr>
          <w:b/>
          <w:bCs/>
          <w:sz w:val="24"/>
          <w:u w:val="single"/>
        </w:rPr>
      </w:pPr>
      <w:r w:rsidRPr="00004BEA">
        <w:rPr>
          <w:b/>
          <w:bCs/>
          <w:sz w:val="24"/>
          <w:u w:val="single"/>
        </w:rPr>
        <w:t>nieruchomości  przeznaczonych  do  zbycia  w  drodze  przetargu ustnego nieograniczonego</w:t>
      </w:r>
    </w:p>
    <w:p w14:paraId="252D950B" w14:textId="77777777" w:rsidR="00004BEA" w:rsidRPr="00004BEA" w:rsidRDefault="00004BEA" w:rsidP="00004BEA">
      <w:pPr>
        <w:rPr>
          <w:sz w:val="22"/>
        </w:rPr>
      </w:pPr>
    </w:p>
    <w:p w14:paraId="60BB9020" w14:textId="77777777" w:rsidR="00004BEA" w:rsidRPr="00004BEA" w:rsidRDefault="00004BEA" w:rsidP="00004BEA">
      <w:pPr>
        <w:rPr>
          <w:sz w:val="22"/>
        </w:rPr>
      </w:pPr>
    </w:p>
    <w:p w14:paraId="16950042" w14:textId="77777777" w:rsidR="00004BEA" w:rsidRPr="00004BEA" w:rsidRDefault="00004BEA" w:rsidP="00004BEA">
      <w:pPr>
        <w:jc w:val="both"/>
        <w:rPr>
          <w:b/>
          <w:bCs/>
          <w:sz w:val="24"/>
          <w:szCs w:val="24"/>
        </w:rPr>
      </w:pPr>
      <w:r w:rsidRPr="00004BEA">
        <w:rPr>
          <w:sz w:val="22"/>
        </w:rPr>
        <w:t xml:space="preserve">     </w:t>
      </w:r>
      <w:r w:rsidRPr="00004BEA">
        <w:rPr>
          <w:sz w:val="24"/>
          <w:szCs w:val="24"/>
        </w:rPr>
        <w:t xml:space="preserve">Na podstawie art. 35 ust. 1 i ust. 2 ustawy z dnia 21 sierpnia 1997 r. o gospodarce nieruchomościami (tekst jednolity Dz. U. z 2020 r., poz. 65, 1990 z późniejszymi zmianami) </w:t>
      </w:r>
      <w:r w:rsidRPr="00004BEA">
        <w:rPr>
          <w:b/>
          <w:bCs/>
          <w:sz w:val="24"/>
          <w:szCs w:val="24"/>
        </w:rPr>
        <w:t>BURMISTRZ GÓRY podaje do publicznej wiadomości wykaz nieruchomości niezabudowanej przeznaczonej  do sprzedaży na  własność  w  drodze  przetargu  ustnego nieograniczonego:</w:t>
      </w:r>
    </w:p>
    <w:p w14:paraId="6D379547" w14:textId="77777777" w:rsidR="00004BEA" w:rsidRPr="00004BEA" w:rsidRDefault="00004BEA" w:rsidP="00004BEA">
      <w:pPr>
        <w:jc w:val="both"/>
        <w:rPr>
          <w:sz w:val="22"/>
        </w:rPr>
      </w:pPr>
      <w:r w:rsidRPr="00004BEA">
        <w:rPr>
          <w:sz w:val="22"/>
        </w:rPr>
        <w:t xml:space="preserve">      </w:t>
      </w:r>
    </w:p>
    <w:tbl>
      <w:tblPr>
        <w:tblW w:w="95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1134"/>
        <w:gridCol w:w="992"/>
        <w:gridCol w:w="1276"/>
        <w:gridCol w:w="3827"/>
        <w:gridCol w:w="1843"/>
      </w:tblGrid>
      <w:tr w:rsidR="00004BEA" w:rsidRPr="00004BEA" w14:paraId="55B49F61" w14:textId="77777777" w:rsidTr="00F93DA7">
        <w:tblPrEx>
          <w:tblCellMar>
            <w:top w:w="0" w:type="dxa"/>
            <w:bottom w:w="0" w:type="dxa"/>
          </w:tblCellMar>
        </w:tblPrEx>
        <w:tc>
          <w:tcPr>
            <w:tcW w:w="496" w:type="dxa"/>
            <w:shd w:val="clear" w:color="auto" w:fill="BFBFBF"/>
          </w:tcPr>
          <w:p w14:paraId="0866B291" w14:textId="77777777" w:rsidR="00004BEA" w:rsidRPr="00004BEA" w:rsidRDefault="00004BEA" w:rsidP="00004BEA">
            <w:pPr>
              <w:rPr>
                <w:b/>
                <w:bCs/>
                <w:sz w:val="22"/>
              </w:rPr>
            </w:pPr>
            <w:r w:rsidRPr="00004BEA">
              <w:rPr>
                <w:b/>
                <w:bCs/>
                <w:sz w:val="22"/>
              </w:rPr>
              <w:t>Lp.</w:t>
            </w:r>
          </w:p>
        </w:tc>
        <w:tc>
          <w:tcPr>
            <w:tcW w:w="1134" w:type="dxa"/>
            <w:shd w:val="clear" w:color="auto" w:fill="BFBFBF"/>
          </w:tcPr>
          <w:p w14:paraId="66DD1C32" w14:textId="77777777" w:rsidR="00004BEA" w:rsidRPr="00004BEA" w:rsidRDefault="00004BEA" w:rsidP="00004BEA">
            <w:pPr>
              <w:rPr>
                <w:b/>
                <w:bCs/>
                <w:sz w:val="22"/>
              </w:rPr>
            </w:pPr>
            <w:r w:rsidRPr="00004BEA">
              <w:rPr>
                <w:b/>
                <w:bCs/>
                <w:sz w:val="22"/>
              </w:rPr>
              <w:t xml:space="preserve">    Nr działki  </w:t>
            </w:r>
          </w:p>
        </w:tc>
        <w:tc>
          <w:tcPr>
            <w:tcW w:w="992" w:type="dxa"/>
            <w:shd w:val="clear" w:color="auto" w:fill="BFBFBF"/>
          </w:tcPr>
          <w:p w14:paraId="4B8F9ADB" w14:textId="77777777" w:rsidR="00004BEA" w:rsidRPr="00004BEA" w:rsidRDefault="00004BEA" w:rsidP="00004BEA">
            <w:pPr>
              <w:jc w:val="center"/>
              <w:rPr>
                <w:b/>
                <w:bCs/>
                <w:sz w:val="22"/>
              </w:rPr>
            </w:pPr>
            <w:r w:rsidRPr="00004BEA">
              <w:rPr>
                <w:b/>
                <w:bCs/>
                <w:sz w:val="22"/>
              </w:rPr>
              <w:t>Pow.</w:t>
            </w:r>
          </w:p>
          <w:p w14:paraId="5F34A497" w14:textId="77777777" w:rsidR="00004BEA" w:rsidRPr="00004BEA" w:rsidRDefault="00004BEA" w:rsidP="00004BEA">
            <w:pPr>
              <w:jc w:val="center"/>
              <w:rPr>
                <w:b/>
                <w:bCs/>
                <w:sz w:val="22"/>
              </w:rPr>
            </w:pPr>
            <w:r w:rsidRPr="00004BEA">
              <w:rPr>
                <w:b/>
                <w:bCs/>
                <w:sz w:val="22"/>
              </w:rPr>
              <w:t>w   ha</w:t>
            </w:r>
          </w:p>
        </w:tc>
        <w:tc>
          <w:tcPr>
            <w:tcW w:w="1276" w:type="dxa"/>
            <w:shd w:val="clear" w:color="auto" w:fill="BFBFBF"/>
          </w:tcPr>
          <w:p w14:paraId="019B1751" w14:textId="77777777" w:rsidR="00004BEA" w:rsidRPr="00004BEA" w:rsidRDefault="00004BEA" w:rsidP="00004BEA">
            <w:pPr>
              <w:keepNext/>
              <w:jc w:val="center"/>
              <w:outlineLvl w:val="6"/>
              <w:rPr>
                <w:b/>
                <w:bCs/>
                <w:sz w:val="22"/>
              </w:rPr>
            </w:pPr>
            <w:r w:rsidRPr="00004BEA">
              <w:rPr>
                <w:b/>
                <w:bCs/>
                <w:sz w:val="22"/>
              </w:rPr>
              <w:t>Nr</w:t>
            </w:r>
          </w:p>
          <w:p w14:paraId="35DA2577" w14:textId="77777777" w:rsidR="00004BEA" w:rsidRPr="00004BEA" w:rsidRDefault="00004BEA" w:rsidP="00004BEA">
            <w:pPr>
              <w:jc w:val="center"/>
              <w:rPr>
                <w:b/>
                <w:bCs/>
                <w:sz w:val="22"/>
              </w:rPr>
            </w:pPr>
            <w:r w:rsidRPr="00004BEA">
              <w:rPr>
                <w:b/>
                <w:bCs/>
                <w:sz w:val="22"/>
              </w:rPr>
              <w:t xml:space="preserve"> K W</w:t>
            </w:r>
          </w:p>
        </w:tc>
        <w:tc>
          <w:tcPr>
            <w:tcW w:w="3827" w:type="dxa"/>
            <w:shd w:val="clear" w:color="auto" w:fill="BFBFBF"/>
          </w:tcPr>
          <w:p w14:paraId="0CDC1210" w14:textId="77777777" w:rsidR="00004BEA" w:rsidRPr="00004BEA" w:rsidRDefault="00004BEA" w:rsidP="00004BEA">
            <w:pPr>
              <w:jc w:val="center"/>
              <w:rPr>
                <w:b/>
                <w:bCs/>
                <w:sz w:val="22"/>
              </w:rPr>
            </w:pPr>
            <w:r w:rsidRPr="00004BEA">
              <w:rPr>
                <w:b/>
                <w:bCs/>
                <w:sz w:val="22"/>
              </w:rPr>
              <w:t>Przeznaczenie  nieruchomości</w:t>
            </w:r>
          </w:p>
        </w:tc>
        <w:tc>
          <w:tcPr>
            <w:tcW w:w="1843" w:type="dxa"/>
            <w:shd w:val="clear" w:color="auto" w:fill="BFBFBF"/>
          </w:tcPr>
          <w:p w14:paraId="71ADA7DB" w14:textId="77777777" w:rsidR="00004BEA" w:rsidRPr="00004BEA" w:rsidRDefault="00004BEA" w:rsidP="00004BEA">
            <w:pPr>
              <w:keepNext/>
              <w:jc w:val="center"/>
              <w:outlineLvl w:val="6"/>
              <w:rPr>
                <w:b/>
                <w:bCs/>
                <w:sz w:val="22"/>
              </w:rPr>
            </w:pPr>
            <w:r w:rsidRPr="00004BEA">
              <w:rPr>
                <w:b/>
                <w:bCs/>
                <w:sz w:val="22"/>
              </w:rPr>
              <w:t>Cena )*</w:t>
            </w:r>
          </w:p>
          <w:p w14:paraId="2E0D77AB" w14:textId="77777777" w:rsidR="00004BEA" w:rsidRPr="00004BEA" w:rsidRDefault="00004BEA" w:rsidP="00004BEA">
            <w:pPr>
              <w:jc w:val="center"/>
              <w:rPr>
                <w:b/>
                <w:bCs/>
                <w:sz w:val="22"/>
              </w:rPr>
            </w:pPr>
            <w:r w:rsidRPr="00004BEA">
              <w:rPr>
                <w:b/>
                <w:bCs/>
                <w:sz w:val="22"/>
              </w:rPr>
              <w:t xml:space="preserve">wywoławcza  </w:t>
            </w:r>
          </w:p>
        </w:tc>
      </w:tr>
      <w:tr w:rsidR="00004BEA" w:rsidRPr="00004BEA" w14:paraId="73F60DA3" w14:textId="77777777" w:rsidTr="00F93DA7">
        <w:tblPrEx>
          <w:tblCellMar>
            <w:top w:w="0" w:type="dxa"/>
            <w:bottom w:w="0" w:type="dxa"/>
          </w:tblCellMar>
        </w:tblPrEx>
        <w:tc>
          <w:tcPr>
            <w:tcW w:w="496" w:type="dxa"/>
          </w:tcPr>
          <w:p w14:paraId="0D53384A" w14:textId="77777777" w:rsidR="00004BEA" w:rsidRPr="00004BEA" w:rsidRDefault="00004BEA" w:rsidP="00004BEA">
            <w:pPr>
              <w:rPr>
                <w:sz w:val="22"/>
              </w:rPr>
            </w:pPr>
          </w:p>
          <w:p w14:paraId="4CA31F83" w14:textId="77777777" w:rsidR="00004BEA" w:rsidRPr="00004BEA" w:rsidRDefault="00004BEA" w:rsidP="00004BEA">
            <w:pPr>
              <w:rPr>
                <w:sz w:val="22"/>
              </w:rPr>
            </w:pPr>
            <w:r w:rsidRPr="00004BEA">
              <w:rPr>
                <w:sz w:val="22"/>
              </w:rPr>
              <w:t>1.</w:t>
            </w:r>
          </w:p>
        </w:tc>
        <w:tc>
          <w:tcPr>
            <w:tcW w:w="1134" w:type="dxa"/>
          </w:tcPr>
          <w:p w14:paraId="28FCBA03" w14:textId="77777777" w:rsidR="00004BEA" w:rsidRPr="00004BEA" w:rsidRDefault="00004BEA" w:rsidP="00004BEA">
            <w:pPr>
              <w:rPr>
                <w:b/>
                <w:sz w:val="22"/>
              </w:rPr>
            </w:pPr>
          </w:p>
          <w:p w14:paraId="0278BB44" w14:textId="77777777" w:rsidR="00004BEA" w:rsidRPr="00004BEA" w:rsidRDefault="00004BEA" w:rsidP="00004BEA">
            <w:pPr>
              <w:rPr>
                <w:b/>
                <w:sz w:val="22"/>
              </w:rPr>
            </w:pPr>
            <w:r w:rsidRPr="00004BEA">
              <w:rPr>
                <w:b/>
                <w:sz w:val="22"/>
              </w:rPr>
              <w:t xml:space="preserve"> 1114/2</w:t>
            </w:r>
          </w:p>
          <w:p w14:paraId="6CB4DFB1" w14:textId="77777777" w:rsidR="00004BEA" w:rsidRPr="00004BEA" w:rsidRDefault="00004BEA" w:rsidP="00004BEA">
            <w:pPr>
              <w:rPr>
                <w:sz w:val="22"/>
              </w:rPr>
            </w:pPr>
          </w:p>
        </w:tc>
        <w:tc>
          <w:tcPr>
            <w:tcW w:w="992" w:type="dxa"/>
          </w:tcPr>
          <w:p w14:paraId="71F667C9" w14:textId="77777777" w:rsidR="00004BEA" w:rsidRPr="00004BEA" w:rsidRDefault="00004BEA" w:rsidP="00004BEA">
            <w:pPr>
              <w:rPr>
                <w:sz w:val="22"/>
              </w:rPr>
            </w:pPr>
          </w:p>
          <w:p w14:paraId="14F87CBD" w14:textId="77777777" w:rsidR="00004BEA" w:rsidRPr="00004BEA" w:rsidRDefault="00004BEA" w:rsidP="00004BEA">
            <w:pPr>
              <w:rPr>
                <w:sz w:val="22"/>
              </w:rPr>
            </w:pPr>
            <w:r w:rsidRPr="00004BEA">
              <w:rPr>
                <w:sz w:val="22"/>
              </w:rPr>
              <w:t>0,3155</w:t>
            </w:r>
          </w:p>
        </w:tc>
        <w:tc>
          <w:tcPr>
            <w:tcW w:w="1276" w:type="dxa"/>
          </w:tcPr>
          <w:p w14:paraId="1BD615BC" w14:textId="77777777" w:rsidR="00004BEA" w:rsidRPr="00004BEA" w:rsidRDefault="00004BEA" w:rsidP="00004BEA"/>
          <w:p w14:paraId="7F0C942D" w14:textId="77777777" w:rsidR="00004BEA" w:rsidRPr="00004BEA" w:rsidRDefault="00004BEA" w:rsidP="00004BEA">
            <w:r w:rsidRPr="00004BEA">
              <w:t>LE1G/</w:t>
            </w:r>
          </w:p>
          <w:p w14:paraId="209D7C1C" w14:textId="77777777" w:rsidR="00004BEA" w:rsidRPr="00004BEA" w:rsidRDefault="00004BEA" w:rsidP="00004BEA">
            <w:r w:rsidRPr="00004BEA">
              <w:t>00081386/1</w:t>
            </w:r>
          </w:p>
          <w:p w14:paraId="54AEF817" w14:textId="77777777" w:rsidR="00004BEA" w:rsidRPr="00004BEA" w:rsidRDefault="00004BEA" w:rsidP="00004BEA">
            <w:pPr>
              <w:keepNext/>
              <w:outlineLvl w:val="6"/>
              <w:rPr>
                <w:sz w:val="22"/>
              </w:rPr>
            </w:pPr>
          </w:p>
        </w:tc>
        <w:tc>
          <w:tcPr>
            <w:tcW w:w="3827" w:type="dxa"/>
          </w:tcPr>
          <w:p w14:paraId="577073DA" w14:textId="77777777" w:rsidR="00004BEA" w:rsidRPr="00004BEA" w:rsidRDefault="00004BEA" w:rsidP="00004BEA"/>
          <w:p w14:paraId="101968CF" w14:textId="77777777" w:rsidR="00004BEA" w:rsidRPr="00004BEA" w:rsidRDefault="00004BEA" w:rsidP="00004BEA">
            <w:r w:rsidRPr="00004BEA">
              <w:t>Nieruchomość jest przeznaczona pod przemysł, bazy, składy i usługi.</w:t>
            </w:r>
          </w:p>
        </w:tc>
        <w:tc>
          <w:tcPr>
            <w:tcW w:w="1843" w:type="dxa"/>
          </w:tcPr>
          <w:p w14:paraId="39D69548" w14:textId="77777777" w:rsidR="00004BEA" w:rsidRPr="00004BEA" w:rsidRDefault="00004BEA" w:rsidP="00004BEA">
            <w:pPr>
              <w:jc w:val="center"/>
              <w:rPr>
                <w:b/>
                <w:bCs/>
                <w:sz w:val="24"/>
              </w:rPr>
            </w:pPr>
          </w:p>
          <w:p w14:paraId="7829BAF4" w14:textId="77777777" w:rsidR="00004BEA" w:rsidRPr="00004BEA" w:rsidRDefault="00004BEA" w:rsidP="00004BEA">
            <w:pPr>
              <w:jc w:val="center"/>
              <w:rPr>
                <w:b/>
                <w:bCs/>
                <w:sz w:val="24"/>
              </w:rPr>
            </w:pPr>
            <w:r w:rsidRPr="00004BEA">
              <w:rPr>
                <w:b/>
                <w:bCs/>
                <w:sz w:val="22"/>
              </w:rPr>
              <w:t>118.500,00</w:t>
            </w:r>
          </w:p>
        </w:tc>
      </w:tr>
    </w:tbl>
    <w:p w14:paraId="41760EBD" w14:textId="77777777" w:rsidR="00004BEA" w:rsidRPr="00004BEA" w:rsidRDefault="00004BEA" w:rsidP="00004BEA">
      <w:pPr>
        <w:rPr>
          <w:sz w:val="16"/>
        </w:rPr>
      </w:pPr>
      <w:r w:rsidRPr="00004BEA">
        <w:rPr>
          <w:sz w:val="16"/>
        </w:rPr>
        <w:t xml:space="preserve">   *) Do ceny  nieruchomości określonej w pkt 1 osiągniętej w wyniku przetargu zostanie doliczony 23% podatek VAT, zgodnie z ustawą                  z dnia 11.03.2004 r. o   podatku od towarów i usług (Dz.U. z 2021 r., poz.685 z późniejszymi zmianami).</w:t>
      </w:r>
    </w:p>
    <w:p w14:paraId="6920517C" w14:textId="6DD06EB1" w:rsidR="00004BEA" w:rsidRPr="00004BEA" w:rsidRDefault="00004BEA" w:rsidP="00004BEA">
      <w:pPr>
        <w:jc w:val="both"/>
        <w:rPr>
          <w:sz w:val="22"/>
        </w:rPr>
      </w:pPr>
      <w:r w:rsidRPr="00004BEA">
        <w:rPr>
          <w:noProof/>
        </w:rPr>
        <w:drawing>
          <wp:anchor distT="0" distB="0" distL="114300" distR="114300" simplePos="0" relativeHeight="251659264" behindDoc="1" locked="0" layoutInCell="1" allowOverlap="1" wp14:anchorId="51B23198" wp14:editId="40A0A46B">
            <wp:simplePos x="0" y="0"/>
            <wp:positionH relativeFrom="column">
              <wp:posOffset>3587750</wp:posOffset>
            </wp:positionH>
            <wp:positionV relativeFrom="paragraph">
              <wp:posOffset>164465</wp:posOffset>
            </wp:positionV>
            <wp:extent cx="2341245" cy="2245995"/>
            <wp:effectExtent l="0" t="0" r="1905" b="1905"/>
            <wp:wrapTight wrapText="bothSides">
              <wp:wrapPolygon edited="0">
                <wp:start x="0" y="0"/>
                <wp:lineTo x="0" y="21435"/>
                <wp:lineTo x="21442" y="21435"/>
                <wp:lineTo x="21442" y="0"/>
                <wp:lineTo x="0" y="0"/>
              </wp:wrapPolygon>
            </wp:wrapTight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1245" cy="2245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7E2E04F" w14:textId="77777777" w:rsidR="00004BEA" w:rsidRPr="00004BEA" w:rsidRDefault="00004BEA" w:rsidP="00004BEA">
      <w:pPr>
        <w:jc w:val="both"/>
        <w:rPr>
          <w:sz w:val="24"/>
          <w:szCs w:val="24"/>
        </w:rPr>
      </w:pPr>
      <w:r w:rsidRPr="00004BEA">
        <w:rPr>
          <w:sz w:val="24"/>
          <w:szCs w:val="24"/>
        </w:rPr>
        <w:t xml:space="preserve">Nieruchomość gruntowa niezabudowana położona                             </w:t>
      </w:r>
      <w:r w:rsidRPr="00004BEA">
        <w:rPr>
          <w:b/>
          <w:bCs/>
          <w:sz w:val="24"/>
          <w:szCs w:val="24"/>
        </w:rPr>
        <w:t xml:space="preserve">w Górze  w rejonie ulicy Wierzbowej. </w:t>
      </w:r>
      <w:r w:rsidRPr="00004BEA">
        <w:rPr>
          <w:sz w:val="24"/>
          <w:szCs w:val="24"/>
        </w:rPr>
        <w:t xml:space="preserve">Dostęp drogą asfaltową. Warunki obsługi działki w zakresie urządzeń infrastruktury technicznej należy uzyskać indywidualnie, na własny koszt, w oparciu  o faktyczne zapotrzebowanie określone przez przyszłego nabywcę. Urząd Miasta i Gminy w Górze  nie bierze odpowiedzialności za kolizje nieuwidocznionymi na podkładach geodezyjnych sieciami uzbrojenia technicznego. </w:t>
      </w:r>
    </w:p>
    <w:p w14:paraId="75C3FD81" w14:textId="77777777" w:rsidR="00004BEA" w:rsidRPr="00004BEA" w:rsidRDefault="00004BEA" w:rsidP="00004BEA">
      <w:pPr>
        <w:jc w:val="both"/>
        <w:rPr>
          <w:sz w:val="24"/>
          <w:szCs w:val="24"/>
        </w:rPr>
      </w:pPr>
      <w:r w:rsidRPr="00004BEA">
        <w:rPr>
          <w:sz w:val="24"/>
          <w:szCs w:val="24"/>
        </w:rPr>
        <w:t xml:space="preserve">     Zgodnie z art. 34 ust. 1 pkt 1 i 2 ustawy o gospodarce nieruchomościami prawo pierwszeństwa w nabyciu nieruchomości mają osoby, którym przysługuje roszczenie o nabycie lub są poprzednimi właścicielami zbywanej nieruchomości pozbawionymi prawa własności tej nieruchomości przed 5.12.1990 r. albo ich spadkobiercami, jeżeli złożą wniosek o ich nabycie w terminie  </w:t>
      </w:r>
      <w:r w:rsidRPr="00004BEA">
        <w:rPr>
          <w:b/>
          <w:bCs/>
          <w:sz w:val="24"/>
          <w:szCs w:val="24"/>
          <w:u w:val="single"/>
        </w:rPr>
        <w:t>do dnia 24 listopada 2021 r.</w:t>
      </w:r>
    </w:p>
    <w:p w14:paraId="7AE130A6" w14:textId="77777777" w:rsidR="00004BEA" w:rsidRPr="00004BEA" w:rsidRDefault="00004BEA" w:rsidP="00004BEA">
      <w:pPr>
        <w:jc w:val="both"/>
        <w:rPr>
          <w:b/>
          <w:bCs/>
          <w:sz w:val="24"/>
          <w:szCs w:val="24"/>
          <w:u w:val="single"/>
        </w:rPr>
      </w:pPr>
      <w:r w:rsidRPr="00004BEA">
        <w:rPr>
          <w:sz w:val="24"/>
          <w:szCs w:val="24"/>
        </w:rPr>
        <w:t>Szczegółowe informacje o przedmiocie sprzedaży można uzyskać w Urzędzie Miasta i Gminy  w Górze – pok.nr 106, tel. 65 5443628.</w:t>
      </w:r>
    </w:p>
    <w:p w14:paraId="1C928881" w14:textId="77777777" w:rsidR="00E103EE" w:rsidRPr="00004BEA" w:rsidRDefault="00E103EE" w:rsidP="00004BEA"/>
    <w:sectPr w:rsidR="00E103EE" w:rsidRPr="00004BE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ITC Bookman Demi">
    <w:altName w:val="Bookman Old Style"/>
    <w:charset w:val="EE"/>
    <w:family w:val="roman"/>
    <w:pitch w:val="variable"/>
    <w:sig w:usb0="00000001" w:usb1="00000000" w:usb2="00000000" w:usb3="00000000" w:csb0="00000093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4C2D"/>
    <w:rsid w:val="00004BEA"/>
    <w:rsid w:val="000137D0"/>
    <w:rsid w:val="00356500"/>
    <w:rsid w:val="008A4C2D"/>
    <w:rsid w:val="00E103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F3ECEBF-4350-4F5B-920D-E31E9E44BD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137D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0137D0"/>
    <w:pPr>
      <w:keepNext/>
      <w:jc w:val="right"/>
      <w:outlineLvl w:val="0"/>
    </w:pPr>
    <w:rPr>
      <w:rFonts w:ascii="Bookman Old Style" w:hAnsi="Bookman Old Style"/>
      <w:sz w:val="24"/>
    </w:rPr>
  </w:style>
  <w:style w:type="paragraph" w:styleId="Nagwek2">
    <w:name w:val="heading 2"/>
    <w:basedOn w:val="Normalny"/>
    <w:next w:val="Normalny"/>
    <w:link w:val="Nagwek2Znak"/>
    <w:qFormat/>
    <w:rsid w:val="000137D0"/>
    <w:pPr>
      <w:keepNext/>
      <w:outlineLvl w:val="1"/>
    </w:pPr>
    <w:rPr>
      <w:rFonts w:ascii="Bookman Old Style" w:hAnsi="Bookman Old Style"/>
      <w:sz w:val="24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004BEA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Nagwek4">
    <w:name w:val="heading 4"/>
    <w:basedOn w:val="Normalny"/>
    <w:next w:val="Normalny"/>
    <w:link w:val="Nagwek4Znak"/>
    <w:qFormat/>
    <w:rsid w:val="000137D0"/>
    <w:pPr>
      <w:keepNext/>
      <w:jc w:val="center"/>
      <w:outlineLvl w:val="3"/>
    </w:pPr>
    <w:rPr>
      <w:rFonts w:ascii="Bookman Old Style" w:hAnsi="Bookman Old Style"/>
      <w:b/>
      <w:sz w:val="28"/>
      <w:u w:val="single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004BEA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Nagwek9">
    <w:name w:val="heading 9"/>
    <w:basedOn w:val="Normalny"/>
    <w:next w:val="Normalny"/>
    <w:link w:val="Nagwek9Znak"/>
    <w:qFormat/>
    <w:rsid w:val="000137D0"/>
    <w:pPr>
      <w:keepNext/>
      <w:outlineLvl w:val="8"/>
    </w:pPr>
    <w:rPr>
      <w:rFonts w:ascii="ITC Bookman Demi" w:eastAsia="SimSun" w:hAnsi="ITC Bookman Demi" w:cs="Tahoma"/>
      <w:b/>
      <w:bCs/>
      <w:color w:val="333399"/>
      <w:sz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0137D0"/>
    <w:rPr>
      <w:rFonts w:ascii="Bookman Old Style" w:eastAsia="Times New Roman" w:hAnsi="Bookman Old Style" w:cs="Times New Roman"/>
      <w:sz w:val="24"/>
      <w:szCs w:val="20"/>
      <w:lang w:eastAsia="pl-PL"/>
    </w:rPr>
  </w:style>
  <w:style w:type="character" w:customStyle="1" w:styleId="Nagwek2Znak">
    <w:name w:val="Nagłówek 2 Znak"/>
    <w:basedOn w:val="Domylnaczcionkaakapitu"/>
    <w:link w:val="Nagwek2"/>
    <w:rsid w:val="000137D0"/>
    <w:rPr>
      <w:rFonts w:ascii="Bookman Old Style" w:eastAsia="Times New Roman" w:hAnsi="Bookman Old Style" w:cs="Times New Roman"/>
      <w:sz w:val="24"/>
      <w:szCs w:val="20"/>
      <w:lang w:eastAsia="pl-PL"/>
    </w:rPr>
  </w:style>
  <w:style w:type="character" w:customStyle="1" w:styleId="Nagwek4Znak">
    <w:name w:val="Nagłówek 4 Znak"/>
    <w:basedOn w:val="Domylnaczcionkaakapitu"/>
    <w:link w:val="Nagwek4"/>
    <w:rsid w:val="000137D0"/>
    <w:rPr>
      <w:rFonts w:ascii="Bookman Old Style" w:eastAsia="Times New Roman" w:hAnsi="Bookman Old Style" w:cs="Times New Roman"/>
      <w:b/>
      <w:sz w:val="28"/>
      <w:szCs w:val="20"/>
      <w:u w:val="single"/>
      <w:lang w:eastAsia="pl-PL"/>
    </w:rPr>
  </w:style>
  <w:style w:type="character" w:customStyle="1" w:styleId="Nagwek9Znak">
    <w:name w:val="Nagłówek 9 Znak"/>
    <w:basedOn w:val="Domylnaczcionkaakapitu"/>
    <w:link w:val="Nagwek9"/>
    <w:rsid w:val="000137D0"/>
    <w:rPr>
      <w:rFonts w:ascii="ITC Bookman Demi" w:eastAsia="SimSun" w:hAnsi="ITC Bookman Demi" w:cs="Tahoma"/>
      <w:b/>
      <w:bCs/>
      <w:color w:val="333399"/>
      <w:sz w:val="28"/>
      <w:szCs w:val="20"/>
      <w:lang w:eastAsia="pl-PL"/>
    </w:rPr>
  </w:style>
  <w:style w:type="paragraph" w:styleId="Tekstpodstawowy3">
    <w:name w:val="Body Text 3"/>
    <w:basedOn w:val="Normalny"/>
    <w:link w:val="Tekstpodstawowy3Znak"/>
    <w:semiHidden/>
    <w:rsid w:val="000137D0"/>
    <w:rPr>
      <w:rFonts w:ascii="Bookman Old Style" w:hAnsi="Bookman Old Style"/>
      <w:sz w:val="24"/>
    </w:rPr>
  </w:style>
  <w:style w:type="character" w:customStyle="1" w:styleId="Tekstpodstawowy3Znak">
    <w:name w:val="Tekst podstawowy 3 Znak"/>
    <w:basedOn w:val="Domylnaczcionkaakapitu"/>
    <w:link w:val="Tekstpodstawowy3"/>
    <w:semiHidden/>
    <w:rsid w:val="000137D0"/>
    <w:rPr>
      <w:rFonts w:ascii="Bookman Old Style" w:eastAsia="Times New Roman" w:hAnsi="Bookman Old Style" w:cs="Times New Roman"/>
      <w:sz w:val="24"/>
      <w:szCs w:val="20"/>
      <w:lang w:eastAsia="pl-PL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004BEA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eastAsia="pl-PL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004BEA"/>
    <w:rPr>
      <w:rFonts w:asciiTheme="majorHAnsi" w:eastAsiaTheme="majorEastAsia" w:hAnsiTheme="majorHAnsi" w:cstheme="majorBidi"/>
      <w:i/>
      <w:iCs/>
      <w:color w:val="1F3763" w:themeColor="accent1" w:themeShade="7F"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313</Words>
  <Characters>1882</Characters>
  <Application>Microsoft Office Word</Application>
  <DocSecurity>0</DocSecurity>
  <Lines>15</Lines>
  <Paragraphs>4</Paragraphs>
  <ScaleCrop>false</ScaleCrop>
  <Company/>
  <LinksUpToDate>false</LinksUpToDate>
  <CharactersWithSpaces>2191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Świder</dc:creator>
  <cp:keywords/>
  <dc:description/>
  <cp:lastModifiedBy>Świder</cp:lastModifiedBy>
  <cp:revision>4</cp:revision>
  <dcterms:created xsi:type="dcterms:W3CDTF">2021-07-19T12:17:00Z</dcterms:created>
  <dcterms:modified xsi:type="dcterms:W3CDTF">2021-10-11T09:48:00Z</dcterms:modified>
</cp:coreProperties>
</file>