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204E4" w14:textId="77777777" w:rsidR="00130D97" w:rsidRPr="00F378AA" w:rsidRDefault="00130D97" w:rsidP="00130D97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F378AA">
        <w:rPr>
          <w:rFonts w:eastAsia="SimSun"/>
          <w:b/>
          <w:bCs/>
          <w:color w:val="4472C4"/>
          <w:sz w:val="28"/>
        </w:rPr>
        <w:t>BURMISTRZ GÓRY</w:t>
      </w:r>
    </w:p>
    <w:p w14:paraId="4572761F" w14:textId="77777777" w:rsidR="00130D97" w:rsidRPr="00F378AA" w:rsidRDefault="00130D97" w:rsidP="00130D97">
      <w:pPr>
        <w:rPr>
          <w:rFonts w:eastAsia="SimSun"/>
          <w:b/>
          <w:color w:val="4472C4"/>
          <w:sz w:val="24"/>
          <w:szCs w:val="24"/>
        </w:rPr>
      </w:pPr>
      <w:r w:rsidRPr="00F378AA">
        <w:rPr>
          <w:rFonts w:eastAsia="SimSun"/>
          <w:b/>
          <w:color w:val="4472C4"/>
          <w:sz w:val="24"/>
          <w:szCs w:val="24"/>
        </w:rPr>
        <w:t xml:space="preserve"> ul. Adama Mickiewicza</w:t>
      </w:r>
      <w:r>
        <w:rPr>
          <w:rFonts w:eastAsia="SimSun"/>
          <w:b/>
          <w:color w:val="4472C4"/>
          <w:sz w:val="24"/>
          <w:szCs w:val="24"/>
        </w:rPr>
        <w:t xml:space="preserve"> 1</w:t>
      </w:r>
    </w:p>
    <w:p w14:paraId="532A4E30" w14:textId="77777777" w:rsidR="00130D97" w:rsidRDefault="00130D97" w:rsidP="00130D97">
      <w:pPr>
        <w:rPr>
          <w:sz w:val="22"/>
        </w:rPr>
      </w:pPr>
      <w:r>
        <w:rPr>
          <w:rFonts w:eastAsia="SimSun"/>
          <w:b/>
          <w:color w:val="4472C4"/>
          <w:sz w:val="24"/>
          <w:szCs w:val="24"/>
        </w:rPr>
        <w:t xml:space="preserve">      </w:t>
      </w:r>
      <w:r w:rsidRPr="00F378AA">
        <w:rPr>
          <w:rFonts w:eastAsia="SimSun"/>
          <w:b/>
          <w:color w:val="4472C4"/>
          <w:sz w:val="24"/>
          <w:szCs w:val="24"/>
        </w:rPr>
        <w:t>56-200   G ó r a</w:t>
      </w:r>
      <w:r w:rsidRPr="00F378AA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</w:t>
      </w:r>
      <w:r w:rsidRPr="00F378AA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190679DB" w14:textId="77777777" w:rsidR="00130D97" w:rsidRPr="00DA6F38" w:rsidRDefault="00130D97" w:rsidP="00130D97">
      <w:pPr>
        <w:pStyle w:val="Tekstpodstawowy3"/>
        <w:keepNext/>
        <w:outlineLvl w:val="5"/>
        <w:rPr>
          <w:rFonts w:ascii="Arial Black" w:hAnsi="Arial Black"/>
          <w:sz w:val="22"/>
        </w:rPr>
      </w:pP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  <w:t xml:space="preserve">    </w:t>
      </w: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</w:r>
      <w:r>
        <w:rPr>
          <w:rFonts w:ascii="Arial Black" w:eastAsia="SimSun" w:hAnsi="Arial Black" w:cs="Tahoma"/>
          <w:b/>
          <w:bCs/>
        </w:rPr>
        <w:tab/>
        <w:t xml:space="preserve"> </w:t>
      </w:r>
      <w:r>
        <w:rPr>
          <w:rFonts w:ascii="Times New Roman" w:hAnsi="Times New Roman"/>
        </w:rPr>
        <w:t>Góra, dnia 16 lipca 2021 r.</w:t>
      </w:r>
      <w:r w:rsidRPr="00DA6F38">
        <w:rPr>
          <w:rFonts w:ascii="Arial Black" w:eastAsia="SimSun" w:hAnsi="Arial Black" w:cs="Tahoma"/>
          <w:b/>
          <w:bCs/>
        </w:rPr>
        <w:t xml:space="preserve">      </w:t>
      </w:r>
      <w:r w:rsidRPr="00DA6F38">
        <w:rPr>
          <w:rFonts w:ascii="Arial Black" w:hAnsi="Arial Black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87D880C" w14:textId="77777777" w:rsidR="00130D97" w:rsidRDefault="00130D97" w:rsidP="00130D97">
      <w:pPr>
        <w:pStyle w:val="Tekstpodstawowy3"/>
        <w:keepNext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GN.6840.34.2020 </w:t>
      </w:r>
    </w:p>
    <w:p w14:paraId="72D904C1" w14:textId="77777777" w:rsidR="00130D97" w:rsidRPr="009C4CB8" w:rsidRDefault="00130D97" w:rsidP="00130D97">
      <w:pPr>
        <w:pStyle w:val="Tekstpodstawowy3"/>
        <w:keepNext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0A985C7F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  <w:u w:val="single"/>
        </w:rPr>
      </w:pPr>
      <w:r>
        <w:rPr>
          <w:rFonts w:ascii="Times New Roman" w:hAnsi="Times New Roman"/>
          <w:b/>
          <w:bCs/>
          <w:sz w:val="28"/>
          <w:u w:val="single"/>
        </w:rPr>
        <w:t>OGŁOSZENIE O ROKOWANIACH</w:t>
      </w:r>
    </w:p>
    <w:p w14:paraId="12213BB2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  <w:u w:val="single"/>
        </w:rPr>
      </w:pPr>
    </w:p>
    <w:p w14:paraId="1FFBE10D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BURMISTRZ GÓRY  </w:t>
      </w:r>
    </w:p>
    <w:p w14:paraId="1CF56AD8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 </w:t>
      </w:r>
    </w:p>
    <w:p w14:paraId="0E10A003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z a p r a s z a    </w:t>
      </w:r>
    </w:p>
    <w:p w14:paraId="2ED747C4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do rokowań w sprawie sprzedaży nieruchomości niezabudowanej</w:t>
      </w:r>
    </w:p>
    <w:p w14:paraId="13E8F848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położonej w obrębie miasta Góra</w:t>
      </w:r>
    </w:p>
    <w:p w14:paraId="6B899FF8" w14:textId="77777777" w:rsidR="00130D97" w:rsidRDefault="00130D97" w:rsidP="00130D97">
      <w:pPr>
        <w:pStyle w:val="Tekstpodstawowy3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 </w:t>
      </w:r>
    </w:p>
    <w:p w14:paraId="19CAE7AE" w14:textId="77777777" w:rsidR="00130D97" w:rsidRPr="00EF7D6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1. </w:t>
      </w:r>
      <w:r>
        <w:rPr>
          <w:rFonts w:ascii="Times New Roman" w:hAnsi="Times New Roman"/>
        </w:rPr>
        <w:t xml:space="preserve">Przedmiotem sprzedaży jest </w:t>
      </w:r>
      <w:r>
        <w:rPr>
          <w:rFonts w:ascii="Times New Roman" w:hAnsi="Times New Roman"/>
          <w:b/>
          <w:bCs/>
        </w:rPr>
        <w:t>nieruchomość niezabudowana, położona w Górze w rejonie ul. Dębowej, oznaczona w ewidencji gruntów</w:t>
      </w:r>
      <w:r>
        <w:rPr>
          <w:rFonts w:ascii="Times New Roman" w:hAnsi="Times New Roman"/>
        </w:rPr>
        <w:t xml:space="preserve"> jako </w:t>
      </w:r>
      <w:r>
        <w:rPr>
          <w:rFonts w:ascii="Times New Roman" w:hAnsi="Times New Roman"/>
          <w:b/>
        </w:rPr>
        <w:t>działka nr 272/1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</w:r>
      <w:r w:rsidRPr="00E209F6">
        <w:rPr>
          <w:rFonts w:ascii="Times New Roman" w:hAnsi="Times New Roman"/>
          <w:b/>
        </w:rPr>
        <w:t>o powier</w:t>
      </w:r>
      <w:r>
        <w:rPr>
          <w:rFonts w:ascii="Times New Roman" w:hAnsi="Times New Roman"/>
          <w:b/>
        </w:rPr>
        <w:t>zchni 0,5076</w:t>
      </w:r>
      <w:r w:rsidRPr="00E209F6"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dla której </w:t>
      </w:r>
      <w:r w:rsidRPr="00E209F6">
        <w:rPr>
          <w:rFonts w:ascii="Times New Roman" w:hAnsi="Times New Roman"/>
          <w:b/>
        </w:rPr>
        <w:t xml:space="preserve">prowadzona jest księga wieczysta </w:t>
      </w:r>
      <w:r>
        <w:rPr>
          <w:rFonts w:ascii="Times New Roman" w:hAnsi="Times New Roman"/>
          <w:b/>
        </w:rPr>
        <w:t xml:space="preserve"> </w:t>
      </w:r>
      <w:r w:rsidRPr="00E209F6">
        <w:rPr>
          <w:rFonts w:ascii="Times New Roman" w:hAnsi="Times New Roman"/>
          <w:b/>
        </w:rPr>
        <w:t>nr LE1G/</w:t>
      </w:r>
      <w:r>
        <w:rPr>
          <w:rFonts w:ascii="Times New Roman" w:hAnsi="Times New Roman"/>
          <w:b/>
        </w:rPr>
        <w:t>00081386/1.</w:t>
      </w:r>
    </w:p>
    <w:p w14:paraId="1826B7FC" w14:textId="77777777" w:rsidR="00130D97" w:rsidRPr="00D64B84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</w:rPr>
        <w:t>Nieruchomość nie są wyłączona z produkcji rolnej i nie jest uzbrojone. Dostęp do działki poprzez drogę gruntową.</w:t>
      </w:r>
    </w:p>
    <w:p w14:paraId="206CF3C0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2.  </w:t>
      </w:r>
      <w:r>
        <w:rPr>
          <w:rFonts w:ascii="Times New Roman" w:hAnsi="Times New Roman"/>
        </w:rPr>
        <w:t>Nieruchomość nie jest obciążona żadnymi ograniczeniami, ciężarami oraz hipoteką. Działy III i IV księgi wieczystej są wolne od wpisów.</w:t>
      </w:r>
    </w:p>
    <w:p w14:paraId="0ECFBEE1" w14:textId="2D71B5A3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F30274" wp14:editId="59DDCF97">
            <wp:simplePos x="0" y="0"/>
            <wp:positionH relativeFrom="column">
              <wp:posOffset>3606165</wp:posOffset>
            </wp:positionH>
            <wp:positionV relativeFrom="paragraph">
              <wp:posOffset>510540</wp:posOffset>
            </wp:positionV>
            <wp:extent cx="2152650" cy="1971675"/>
            <wp:effectExtent l="0" t="0" r="0" b="9525"/>
            <wp:wrapTight wrapText="bothSides">
              <wp:wrapPolygon edited="0">
                <wp:start x="0" y="0"/>
                <wp:lineTo x="0" y="21496"/>
                <wp:lineTo x="21409" y="21496"/>
                <wp:lineTo x="2140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</w:rPr>
        <w:t xml:space="preserve">3. </w:t>
      </w:r>
      <w:r>
        <w:rPr>
          <w:rFonts w:ascii="Times New Roman" w:hAnsi="Times New Roman"/>
        </w:rPr>
        <w:t xml:space="preserve">W planie zagospodarowania przestrzennego gminy Góra nieruchomość znajduje się                         w jednostce bilansowej, dla których ustala się : </w:t>
      </w:r>
      <w:r w:rsidRPr="009C4CB8">
        <w:rPr>
          <w:rFonts w:ascii="Times New Roman" w:hAnsi="Times New Roman"/>
          <w:b/>
        </w:rPr>
        <w:t>działka nr 272/1 – D4 PSU – usługi, przemysł</w:t>
      </w:r>
      <w:r>
        <w:rPr>
          <w:rFonts w:ascii="Times New Roman" w:hAnsi="Times New Roman"/>
        </w:rPr>
        <w:t xml:space="preserve">, </w:t>
      </w:r>
      <w:r w:rsidRPr="009C4CB8">
        <w:rPr>
          <w:rFonts w:ascii="Times New Roman" w:hAnsi="Times New Roman"/>
          <w:b/>
        </w:rPr>
        <w:t>bazy i składy</w:t>
      </w:r>
      <w:r>
        <w:rPr>
          <w:rFonts w:ascii="Times New Roman" w:hAnsi="Times New Roman"/>
          <w:b/>
        </w:rPr>
        <w:t>.</w:t>
      </w:r>
    </w:p>
    <w:p w14:paraId="52DA8512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4.  </w:t>
      </w:r>
      <w:r>
        <w:rPr>
          <w:rFonts w:ascii="Times New Roman" w:hAnsi="Times New Roman"/>
          <w:bCs/>
        </w:rPr>
        <w:t xml:space="preserve">Nieruchomość </w:t>
      </w:r>
      <w:r>
        <w:rPr>
          <w:rFonts w:ascii="Times New Roman" w:hAnsi="Times New Roman"/>
        </w:rPr>
        <w:t>podlega zbyciu na własność.</w:t>
      </w:r>
      <w:r w:rsidRPr="00E209F6">
        <w:t xml:space="preserve"> </w:t>
      </w:r>
    </w:p>
    <w:p w14:paraId="242FDA62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 xml:space="preserve">5. </w:t>
      </w:r>
      <w:r w:rsidRPr="00C36577">
        <w:rPr>
          <w:rFonts w:ascii="Times New Roman" w:hAnsi="Times New Roman"/>
          <w:b/>
        </w:rPr>
        <w:t>Cena wywoławcza do rokowań wynosi</w:t>
      </w:r>
      <w:r>
        <w:rPr>
          <w:rFonts w:ascii="Times New Roman" w:hAnsi="Times New Roman"/>
          <w:b/>
        </w:rPr>
        <w:t>:</w:t>
      </w:r>
    </w:p>
    <w:p w14:paraId="5AD9A915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- działka nr 272/1 – 117.600,00 </w:t>
      </w:r>
      <w:r w:rsidRPr="00C36577">
        <w:rPr>
          <w:rFonts w:ascii="Times New Roman" w:hAnsi="Times New Roman"/>
          <w:b/>
        </w:rPr>
        <w:t xml:space="preserve">zł (słownie: </w:t>
      </w:r>
      <w:r>
        <w:rPr>
          <w:rFonts w:ascii="Times New Roman" w:hAnsi="Times New Roman"/>
          <w:b/>
        </w:rPr>
        <w:t>sto siedemnaście tysięcy sześćset złotych 0</w:t>
      </w:r>
      <w:r w:rsidRPr="00C36577">
        <w:rPr>
          <w:rFonts w:ascii="Times New Roman" w:hAnsi="Times New Roman"/>
          <w:b/>
        </w:rPr>
        <w:t>0/100)</w:t>
      </w:r>
      <w:r>
        <w:rPr>
          <w:rFonts w:ascii="Times New Roman" w:hAnsi="Times New Roman"/>
          <w:b/>
        </w:rPr>
        <w:t>,</w:t>
      </w:r>
    </w:p>
    <w:p w14:paraId="6B386F68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color w:val="FF0000"/>
          <w:sz w:val="20"/>
        </w:rPr>
      </w:pPr>
      <w:r w:rsidRPr="00E16B60">
        <w:rPr>
          <w:rFonts w:ascii="Times New Roman" w:hAnsi="Times New Roman"/>
          <w:sz w:val="20"/>
        </w:rPr>
        <w:t xml:space="preserve">Do ceny nieruchomości ustalonej w drodze rokowań zostanie doliczony 23% podatek </w:t>
      </w:r>
      <w:r>
        <w:rPr>
          <w:rFonts w:ascii="Times New Roman" w:hAnsi="Times New Roman"/>
          <w:sz w:val="20"/>
        </w:rPr>
        <w:t xml:space="preserve">VAT, </w:t>
      </w:r>
      <w:r w:rsidRPr="00E16B60">
        <w:rPr>
          <w:rFonts w:ascii="Times New Roman" w:hAnsi="Times New Roman"/>
          <w:sz w:val="20"/>
        </w:rPr>
        <w:t xml:space="preserve">zgodnie z ustawą </w:t>
      </w:r>
      <w:r>
        <w:rPr>
          <w:rFonts w:ascii="Times New Roman" w:hAnsi="Times New Roman"/>
          <w:sz w:val="20"/>
        </w:rPr>
        <w:t xml:space="preserve">  </w:t>
      </w:r>
      <w:r w:rsidRPr="00E16B60">
        <w:rPr>
          <w:rFonts w:ascii="Times New Roman" w:hAnsi="Times New Roman"/>
          <w:sz w:val="20"/>
        </w:rPr>
        <w:t xml:space="preserve">z dnia 11.03.2004 r. o podatku od towarów i usług (Dz. U. z </w:t>
      </w:r>
      <w:r w:rsidRPr="00CA7D8F">
        <w:rPr>
          <w:rFonts w:ascii="Times New Roman" w:hAnsi="Times New Roman"/>
          <w:sz w:val="20"/>
        </w:rPr>
        <w:t>20</w:t>
      </w:r>
      <w:r>
        <w:rPr>
          <w:rFonts w:ascii="Times New Roman" w:hAnsi="Times New Roman"/>
          <w:sz w:val="20"/>
        </w:rPr>
        <w:t>21</w:t>
      </w:r>
      <w:r w:rsidRPr="00CA7D8F">
        <w:rPr>
          <w:rFonts w:ascii="Times New Roman" w:hAnsi="Times New Roman"/>
          <w:sz w:val="20"/>
        </w:rPr>
        <w:t xml:space="preserve"> r., poz. </w:t>
      </w:r>
      <w:r>
        <w:rPr>
          <w:rFonts w:ascii="Times New Roman" w:hAnsi="Times New Roman"/>
          <w:sz w:val="20"/>
        </w:rPr>
        <w:t>685</w:t>
      </w:r>
      <w:r w:rsidRPr="00CA7D8F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                          </w:t>
      </w:r>
      <w:r w:rsidRPr="00CA7D8F">
        <w:rPr>
          <w:rFonts w:ascii="Times New Roman" w:hAnsi="Times New Roman"/>
          <w:sz w:val="20"/>
        </w:rPr>
        <w:t>z późniejszymi zmianami).</w:t>
      </w:r>
    </w:p>
    <w:p w14:paraId="6F16CE62" w14:textId="77777777" w:rsidR="00130D97" w:rsidRPr="00E16B60" w:rsidRDefault="00130D97" w:rsidP="00130D97">
      <w:pPr>
        <w:pStyle w:val="Tekstpodstawowy3"/>
        <w:jc w:val="both"/>
        <w:outlineLvl w:val="5"/>
        <w:rPr>
          <w:rFonts w:ascii="Times New Roman" w:hAnsi="Times New Roman"/>
          <w:bCs/>
          <w:sz w:val="20"/>
        </w:rPr>
      </w:pPr>
    </w:p>
    <w:p w14:paraId="58F86B21" w14:textId="77777777" w:rsidR="00130D97" w:rsidRPr="00D64B84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6. </w:t>
      </w:r>
      <w:r>
        <w:rPr>
          <w:rFonts w:ascii="Times New Roman" w:hAnsi="Times New Roman"/>
        </w:rPr>
        <w:t>Nieruchomości były przeznaczone do zbycia w drodze dwóch kolejnych przetargów przeprowadzonych w dniach 12 marca 2021 r. i 1 czerwca 2021 r., które zakończyły się wynikiem negatywnym.</w:t>
      </w:r>
    </w:p>
    <w:p w14:paraId="4D32AF9F" w14:textId="77777777" w:rsidR="00130D97" w:rsidRPr="00D64B84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</w:rPr>
        <w:t xml:space="preserve">7.  </w:t>
      </w:r>
      <w:r>
        <w:rPr>
          <w:rFonts w:ascii="Times New Roman" w:hAnsi="Times New Roman"/>
        </w:rPr>
        <w:t>Osoby zainteresowane nabyciem przedmiotowej nieruchomości winny przesłać na adres Urzędu lub złożyć pisemne</w:t>
      </w:r>
      <w:r>
        <w:rPr>
          <w:rFonts w:ascii="Times New Roman" w:hAnsi="Times New Roman"/>
          <w:b/>
          <w:bCs/>
        </w:rPr>
        <w:t xml:space="preserve"> zgłoszenie </w:t>
      </w:r>
      <w:r>
        <w:rPr>
          <w:rFonts w:ascii="Times New Roman" w:hAnsi="Times New Roman"/>
        </w:rPr>
        <w:t xml:space="preserve">udziału w rokowaniach, </w:t>
      </w:r>
      <w:r>
        <w:rPr>
          <w:rFonts w:ascii="Times New Roman" w:hAnsi="Times New Roman"/>
          <w:b/>
          <w:bCs/>
        </w:rPr>
        <w:t>w zamkniętych kopertach, najpóźniej do</w:t>
      </w:r>
      <w:r>
        <w:rPr>
          <w:rFonts w:ascii="Times New Roman" w:hAnsi="Times New Roman"/>
          <w:b/>
        </w:rPr>
        <w:t xml:space="preserve"> dnia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u w:val="single"/>
        </w:rPr>
        <w:t xml:space="preserve">2 września </w:t>
      </w:r>
      <w:r w:rsidRPr="00182300">
        <w:rPr>
          <w:rFonts w:ascii="Times New Roman" w:hAnsi="Times New Roman"/>
          <w:b/>
          <w:u w:val="single"/>
        </w:rPr>
        <w:t>20</w:t>
      </w:r>
      <w:r>
        <w:rPr>
          <w:rFonts w:ascii="Times New Roman" w:hAnsi="Times New Roman"/>
          <w:b/>
          <w:u w:val="single"/>
        </w:rPr>
        <w:t>21 r</w:t>
      </w:r>
      <w:r>
        <w:rPr>
          <w:rFonts w:ascii="Times New Roman" w:hAnsi="Times New Roman"/>
          <w:b/>
          <w:bCs/>
          <w:u w:val="single"/>
        </w:rPr>
        <w:t xml:space="preserve">. w punkcie informacyjnym Urzędu Miasta i Gminy </w:t>
      </w:r>
      <w:r>
        <w:rPr>
          <w:rFonts w:ascii="Times New Roman" w:hAnsi="Times New Roman"/>
          <w:b/>
          <w:bCs/>
          <w:u w:val="single"/>
        </w:rPr>
        <w:br/>
        <w:t>w Górze (na parterz</w:t>
      </w:r>
      <w:r w:rsidRPr="00D70411">
        <w:rPr>
          <w:rFonts w:ascii="Times New Roman" w:hAnsi="Times New Roman"/>
          <w:b/>
          <w:bCs/>
          <w:u w:val="single"/>
        </w:rPr>
        <w:t>e) z</w:t>
      </w:r>
      <w:r>
        <w:rPr>
          <w:rFonts w:ascii="Times New Roman" w:hAnsi="Times New Roman"/>
          <w:b/>
          <w:bCs/>
          <w:u w:val="single"/>
        </w:rPr>
        <w:t xml:space="preserve"> napisem „</w:t>
      </w:r>
      <w:r>
        <w:rPr>
          <w:rFonts w:ascii="Times New Roman" w:hAnsi="Times New Roman"/>
          <w:b/>
          <w:bCs/>
          <w:i/>
          <w:iCs/>
          <w:u w:val="single"/>
        </w:rPr>
        <w:t xml:space="preserve">OFERTA NA NABYCIE NIERUCHOMOŚCI </w:t>
      </w:r>
      <w:r>
        <w:rPr>
          <w:rFonts w:ascii="Times New Roman" w:hAnsi="Times New Roman"/>
          <w:b/>
          <w:bCs/>
          <w:i/>
          <w:iCs/>
          <w:u w:val="single"/>
        </w:rPr>
        <w:br/>
        <w:t xml:space="preserve">NR 272/1, OBRĘB GÓRA </w:t>
      </w:r>
    </w:p>
    <w:p w14:paraId="2C88506A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</w:p>
    <w:p w14:paraId="0481AA55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Zgłoszenie powinno zawierać:</w:t>
      </w:r>
    </w:p>
    <w:p w14:paraId="7D703EB7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-  imię i nazwisko i adres albo nazwę lub firmę oraz siedzibę, jeżeli zgłaszającym jest osoba prawna lub inny podmiot,</w:t>
      </w:r>
    </w:p>
    <w:p w14:paraId="5622E964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-  datę sporządzenia zgłoszenia,</w:t>
      </w:r>
    </w:p>
    <w:p w14:paraId="1460855C" w14:textId="77777777" w:rsidR="00130D97" w:rsidRDefault="00130D97" w:rsidP="00130D97">
      <w:pPr>
        <w:pStyle w:val="Tekstpodstawowy3"/>
        <w:ind w:left="142" w:hanging="142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- oświadczenie, że zgłaszający zapoznał się z warunkami rokowań i przyjmuje                                te warunki bez zastrzeżeń,</w:t>
      </w:r>
    </w:p>
    <w:p w14:paraId="55E8E0B4" w14:textId="77777777" w:rsidR="00130D97" w:rsidRDefault="00130D97" w:rsidP="00130D97">
      <w:pPr>
        <w:pStyle w:val="Tekstpodstawowy3"/>
        <w:jc w:val="center"/>
        <w:outlineLvl w:val="5"/>
        <w:rPr>
          <w:rFonts w:ascii="Times New Roman" w:hAnsi="Times New Roman"/>
          <w:bCs/>
        </w:rPr>
      </w:pPr>
      <w:r w:rsidRPr="00205B77">
        <w:rPr>
          <w:rFonts w:ascii="Times New Roman" w:hAnsi="Times New Roman"/>
          <w:bCs/>
        </w:rPr>
        <w:lastRenderedPageBreak/>
        <w:t xml:space="preserve">- 2 </w:t>
      </w:r>
      <w:r>
        <w:rPr>
          <w:rFonts w:ascii="Times New Roman" w:hAnsi="Times New Roman"/>
          <w:bCs/>
        </w:rPr>
        <w:t>–</w:t>
      </w:r>
    </w:p>
    <w:p w14:paraId="620141C4" w14:textId="77777777" w:rsidR="00130D97" w:rsidRDefault="00130D97" w:rsidP="00130D97">
      <w:pPr>
        <w:pStyle w:val="Tekstpodstawowy3"/>
        <w:ind w:left="142" w:hanging="142"/>
        <w:jc w:val="both"/>
        <w:outlineLvl w:val="5"/>
        <w:rPr>
          <w:rFonts w:ascii="Times New Roman" w:hAnsi="Times New Roman"/>
          <w:b/>
          <w:bCs/>
        </w:rPr>
      </w:pPr>
    </w:p>
    <w:p w14:paraId="6544D704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- proponowaną cenę (nie niższą niż cena wywoławcza) i sposób jej zapłaty, </w:t>
      </w:r>
    </w:p>
    <w:p w14:paraId="1CF993FD" w14:textId="77777777" w:rsidR="00130D97" w:rsidRPr="000507AC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</w:rPr>
      </w:pPr>
      <w:r w:rsidRPr="000507AC">
        <w:rPr>
          <w:rFonts w:ascii="Times New Roman" w:hAnsi="Times New Roman"/>
          <w:b/>
        </w:rPr>
        <w:t>- kopię dowodu wpłaty zaliczki.</w:t>
      </w:r>
    </w:p>
    <w:p w14:paraId="2DAF1B17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Ponadto do zgłoszenia należy dołączyć kopię dowodu wpłaty zaliczki. </w:t>
      </w:r>
    </w:p>
    <w:p w14:paraId="31AF1474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>8.</w:t>
      </w:r>
      <w:r>
        <w:rPr>
          <w:rFonts w:ascii="Times New Roman" w:hAnsi="Times New Roman"/>
        </w:rPr>
        <w:t xml:space="preserve"> Szczegółowe informacje dotyczące przedmiotu sprzedaży można uzyskać w Urzędzie Miasta i Gminy w Górze ul. Adama Mickiewicza 1 w Wydziale Gospodarki Nieruchomościami i Spraw Komunalnych – pok. nr 108, tel. 65 544 36 31.</w:t>
      </w:r>
    </w:p>
    <w:p w14:paraId="24B06A7A" w14:textId="2789C6C9" w:rsidR="00130D97" w:rsidRPr="00D64B84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  <w:u w:val="single"/>
          <w:vertAlign w:val="superscript"/>
        </w:rPr>
      </w:pPr>
      <w:r w:rsidRPr="007E306A">
        <w:rPr>
          <w:rFonts w:ascii="Times New Roman" w:hAnsi="Times New Roman"/>
          <w:b/>
        </w:rPr>
        <w:t>9.</w:t>
      </w:r>
      <w:r w:rsidRPr="007E306A">
        <w:rPr>
          <w:rFonts w:ascii="Times New Roman" w:hAnsi="Times New Roman"/>
          <w:b/>
          <w:u w:val="single"/>
        </w:rPr>
        <w:t xml:space="preserve"> </w:t>
      </w:r>
      <w:r w:rsidRPr="007E306A">
        <w:rPr>
          <w:rFonts w:ascii="Times New Roman" w:hAnsi="Times New Roman"/>
          <w:b/>
          <w:bCs/>
          <w:u w:val="single"/>
        </w:rPr>
        <w:t xml:space="preserve">Rokowania zostaną przeprowadzone w dniu </w:t>
      </w:r>
      <w:r>
        <w:rPr>
          <w:rFonts w:ascii="Times New Roman" w:hAnsi="Times New Roman"/>
          <w:b/>
          <w:bCs/>
          <w:u w:val="single"/>
        </w:rPr>
        <w:t>7 września 2021 r. o godz. 10</w:t>
      </w:r>
      <w:r>
        <w:rPr>
          <w:rFonts w:ascii="Times New Roman" w:hAnsi="Times New Roman"/>
          <w:b/>
          <w:bCs/>
          <w:u w:val="single"/>
          <w:vertAlign w:val="superscript"/>
        </w:rPr>
        <w:t>3</w:t>
      </w:r>
      <w:r w:rsidRPr="007E306A">
        <w:rPr>
          <w:rFonts w:ascii="Times New Roman" w:hAnsi="Times New Roman"/>
          <w:b/>
          <w:bCs/>
          <w:u w:val="single"/>
          <w:vertAlign w:val="superscript"/>
        </w:rPr>
        <w:t xml:space="preserve">0 </w:t>
      </w:r>
      <w:r w:rsidRPr="007E306A">
        <w:rPr>
          <w:rFonts w:ascii="Times New Roman" w:hAnsi="Times New Roman"/>
          <w:b/>
          <w:bCs/>
          <w:u w:val="single"/>
        </w:rPr>
        <w:t>w siedzibie Urzędu Miasta i Gminy w Górze – Wydziale Gospodarki Nieruchomościami i Spraw Komunalnych – pok. nr 10</w:t>
      </w:r>
      <w:r>
        <w:rPr>
          <w:rFonts w:ascii="Times New Roman" w:hAnsi="Times New Roman"/>
          <w:b/>
          <w:bCs/>
          <w:u w:val="single"/>
        </w:rPr>
        <w:t>6</w:t>
      </w:r>
      <w:r w:rsidRPr="007E306A">
        <w:rPr>
          <w:rFonts w:ascii="Times New Roman" w:hAnsi="Times New Roman"/>
          <w:b/>
          <w:bCs/>
          <w:u w:val="single"/>
        </w:rPr>
        <w:t>.</w:t>
      </w:r>
    </w:p>
    <w:p w14:paraId="1EF196F9" w14:textId="3ED8EA4A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</w:rPr>
        <w:t xml:space="preserve">10. </w:t>
      </w:r>
      <w:r>
        <w:rPr>
          <w:rFonts w:ascii="Times New Roman" w:hAnsi="Times New Roman"/>
        </w:rPr>
        <w:t xml:space="preserve">W celu zabezpieczenia kosztów w przypadku uchylenia się od zawarcia umowy notarialnej należy </w:t>
      </w:r>
      <w:r w:rsidRPr="00AE2253">
        <w:rPr>
          <w:rFonts w:ascii="Times New Roman" w:hAnsi="Times New Roman"/>
          <w:b/>
          <w:bCs/>
          <w:u w:val="single"/>
        </w:rPr>
        <w:t>wpłacić zaliczkę w wysokości:</w:t>
      </w:r>
      <w:r>
        <w:rPr>
          <w:rFonts w:ascii="Times New Roman" w:hAnsi="Times New Roman"/>
          <w:b/>
          <w:bCs/>
          <w:u w:val="single"/>
        </w:rPr>
        <w:t xml:space="preserve"> dla działki nr  272/1 – 11.760,00</w:t>
      </w:r>
      <w:r w:rsidRPr="00AE2253">
        <w:rPr>
          <w:rFonts w:ascii="Times New Roman" w:hAnsi="Times New Roman"/>
          <w:b/>
          <w:bCs/>
          <w:u w:val="single"/>
        </w:rPr>
        <w:t xml:space="preserve"> zł</w:t>
      </w:r>
      <w:r>
        <w:rPr>
          <w:rFonts w:ascii="Times New Roman" w:hAnsi="Times New Roman"/>
          <w:b/>
          <w:bCs/>
          <w:u w:val="single"/>
        </w:rPr>
        <w:t xml:space="preserve"> , konto Gminy Góra PKO BP S.A. O/Góra nr 45 1020 5226 0000 6202 0497 0226, najpóźniej do </w:t>
      </w:r>
      <w:r w:rsidRPr="00182300">
        <w:rPr>
          <w:rFonts w:ascii="Times New Roman" w:hAnsi="Times New Roman"/>
          <w:b/>
          <w:bCs/>
          <w:u w:val="single"/>
        </w:rPr>
        <w:t xml:space="preserve">dnia </w:t>
      </w:r>
      <w:r w:rsidR="00F935ED">
        <w:rPr>
          <w:rFonts w:ascii="Times New Roman" w:hAnsi="Times New Roman"/>
          <w:b/>
          <w:bCs/>
          <w:u w:val="single"/>
        </w:rPr>
        <w:t xml:space="preserve">                  </w:t>
      </w:r>
      <w:r>
        <w:rPr>
          <w:rFonts w:ascii="Times New Roman" w:hAnsi="Times New Roman"/>
          <w:b/>
          <w:bCs/>
          <w:u w:val="single"/>
        </w:rPr>
        <w:t>2 września 2021</w:t>
      </w:r>
      <w:r w:rsidRPr="00182300">
        <w:rPr>
          <w:rFonts w:ascii="Times New Roman" w:hAnsi="Times New Roman"/>
          <w:b/>
          <w:bCs/>
          <w:u w:val="single"/>
        </w:rPr>
        <w:t xml:space="preserve"> r.</w:t>
      </w:r>
    </w:p>
    <w:p w14:paraId="3539A154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11. </w:t>
      </w:r>
      <w:r>
        <w:rPr>
          <w:rFonts w:ascii="Times New Roman" w:hAnsi="Times New Roman"/>
        </w:rPr>
        <w:t xml:space="preserve">Wpłacona zaliczka przez uczestnika, który został ustalony nabywcą nieruchomości zostanie zaliczona na poczet ceny nabycia, a w przypadku uchylenia się uczestnika  </w:t>
      </w:r>
      <w:r>
        <w:rPr>
          <w:rFonts w:ascii="Times New Roman" w:hAnsi="Times New Roman"/>
        </w:rPr>
        <w:br/>
        <w:t>od zawarcia umowy sprzedaży, zaliczka przepada na rzecz „Sprzedającego”. Pozostałym uczestnikom zaliczkę zwraca się w terminie 3 dni od dnia zamknięcia rokowań.</w:t>
      </w:r>
    </w:p>
    <w:p w14:paraId="7EEEE94E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</w:rPr>
      </w:pPr>
      <w:r w:rsidRPr="000507AC">
        <w:rPr>
          <w:rFonts w:ascii="Times New Roman" w:hAnsi="Times New Roman"/>
          <w:b/>
        </w:rPr>
        <w:t>12.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Uczestnik rokowań winien przedłożyć komisji przeprowadzającej rokowania:</w:t>
      </w:r>
    </w:p>
    <w:p w14:paraId="2E7954B7" w14:textId="77777777" w:rsidR="00130D97" w:rsidRPr="00063DF5" w:rsidRDefault="00130D97" w:rsidP="00130D97">
      <w:pPr>
        <w:numPr>
          <w:ilvl w:val="0"/>
          <w:numId w:val="1"/>
        </w:numPr>
        <w:jc w:val="both"/>
        <w:rPr>
          <w:sz w:val="24"/>
          <w:szCs w:val="24"/>
        </w:rPr>
      </w:pPr>
      <w:r w:rsidRPr="00063DF5">
        <w:rPr>
          <w:sz w:val="24"/>
          <w:szCs w:val="24"/>
        </w:rPr>
        <w:t>w przypadku osób fizycznych – dowód tożsamości i oryginał dowodu wpłaty wadium,</w:t>
      </w:r>
    </w:p>
    <w:p w14:paraId="7FB3C239" w14:textId="77777777" w:rsidR="00130D97" w:rsidRPr="00063DF5" w:rsidRDefault="00130D97" w:rsidP="00130D97">
      <w:pPr>
        <w:numPr>
          <w:ilvl w:val="0"/>
          <w:numId w:val="1"/>
        </w:numPr>
        <w:jc w:val="both"/>
        <w:rPr>
          <w:sz w:val="24"/>
          <w:szCs w:val="24"/>
        </w:rPr>
      </w:pPr>
      <w:r w:rsidRPr="00063DF5">
        <w:rPr>
          <w:sz w:val="24"/>
          <w:szCs w:val="24"/>
        </w:rPr>
        <w:t>w przypadku osób prawnych – aktualny wypis z rejestru, właściwe pełnomocnictwa, dowody tożsamości osób reprezentujących podmiot, oryginał dowodu wpłaty wadium,</w:t>
      </w:r>
    </w:p>
    <w:p w14:paraId="2E2F0B6E" w14:textId="77777777" w:rsidR="00130D97" w:rsidRPr="00063DF5" w:rsidRDefault="00130D97" w:rsidP="00130D97">
      <w:pPr>
        <w:numPr>
          <w:ilvl w:val="0"/>
          <w:numId w:val="1"/>
        </w:numPr>
        <w:jc w:val="both"/>
        <w:rPr>
          <w:sz w:val="24"/>
          <w:szCs w:val="24"/>
        </w:rPr>
      </w:pPr>
      <w:r w:rsidRPr="00063DF5">
        <w:rPr>
          <w:sz w:val="24"/>
          <w:szCs w:val="24"/>
        </w:rPr>
        <w:t>pełnomocnicy osób fizycznych powinni zobowiązani są przedstawić upoważnienie,</w:t>
      </w:r>
    </w:p>
    <w:p w14:paraId="5DD64537" w14:textId="77777777" w:rsidR="00130D97" w:rsidRPr="00063DF5" w:rsidRDefault="00130D97" w:rsidP="00130D97">
      <w:pPr>
        <w:numPr>
          <w:ilvl w:val="0"/>
          <w:numId w:val="1"/>
        </w:numPr>
        <w:jc w:val="both"/>
        <w:rPr>
          <w:sz w:val="24"/>
          <w:szCs w:val="24"/>
        </w:rPr>
      </w:pPr>
      <w:r w:rsidRPr="00063DF5">
        <w:rPr>
          <w:sz w:val="24"/>
          <w:szCs w:val="24"/>
        </w:rPr>
        <w:t>w przypadku osób pozostających w związku małżeńskim posiadających ustawową wspólność małżeńską do udziału w rokowaniach wymagana jest obecność obojga małżonków. W przypadku uczestnictwa w rokowaniach jednego małżonka należy złożyć do akt pisemne oświadczenie współmałżonka o wyrażeniu zgody na przystąpienie małżonka do rokowań z zamiarem nabycia nieruchomości będącej przedmiotem przetargu ze środków pochodzących z majątku wspólnego za cenę ustaloną w rokowaniach,</w:t>
      </w:r>
    </w:p>
    <w:p w14:paraId="002A290C" w14:textId="77777777" w:rsidR="00130D97" w:rsidRPr="00D64B84" w:rsidRDefault="00130D97" w:rsidP="00130D97">
      <w:pPr>
        <w:numPr>
          <w:ilvl w:val="0"/>
          <w:numId w:val="1"/>
        </w:numPr>
        <w:jc w:val="both"/>
        <w:rPr>
          <w:sz w:val="24"/>
          <w:szCs w:val="24"/>
        </w:rPr>
      </w:pPr>
      <w:r w:rsidRPr="00063DF5">
        <w:rPr>
          <w:sz w:val="24"/>
          <w:szCs w:val="24"/>
        </w:rPr>
        <w:t>nabycie nieruchomości przez cudzoziemców może nastąpić po uzyskaniu zezwolenia Ministra Spraw Wewnętrznych i Administracji, jeżeli wymagają tego przepisy ustawy z dnia 24 marca 1920 r. o nabywaniu nieruchomości przez cudzoziemców.</w:t>
      </w:r>
    </w:p>
    <w:p w14:paraId="6C757192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13.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Organizator rokowań ma prawo zamknięcia rokowań bez wybrania nabywcy nieruchomości.</w:t>
      </w:r>
    </w:p>
    <w:p w14:paraId="7092E16D" w14:textId="77777777" w:rsidR="00130D97" w:rsidRDefault="00130D97" w:rsidP="00130D97"/>
    <w:p w14:paraId="4DDF16B2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szCs w:val="24"/>
        </w:rPr>
      </w:pPr>
    </w:p>
    <w:p w14:paraId="02768D80" w14:textId="77777777" w:rsidR="00130D97" w:rsidRDefault="00130D97" w:rsidP="00130D97">
      <w:pPr>
        <w:pStyle w:val="Tekstpodstawowy3"/>
        <w:jc w:val="both"/>
        <w:outlineLvl w:val="5"/>
        <w:rPr>
          <w:rFonts w:ascii="Times New Roman" w:hAnsi="Times New Roman"/>
          <w:b/>
          <w:szCs w:val="24"/>
        </w:rPr>
      </w:pPr>
    </w:p>
    <w:p w14:paraId="0D4DC6AD" w14:textId="77777777" w:rsidR="00CF1586" w:rsidRDefault="00CF1586"/>
    <w:sectPr w:rsidR="00CF1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05"/>
    <w:rsid w:val="00130D97"/>
    <w:rsid w:val="00CA4A05"/>
    <w:rsid w:val="00CF1586"/>
    <w:rsid w:val="00F9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BD300"/>
  <w15:chartTrackingRefBased/>
  <w15:docId w15:val="{6ED6545B-9C11-4EBE-847A-D03BD929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0D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130D97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130D97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729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2021-07-19T12:12:00Z</dcterms:created>
  <dcterms:modified xsi:type="dcterms:W3CDTF">2021-07-19T12:12:00Z</dcterms:modified>
</cp:coreProperties>
</file>